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after="1120"/>
      </w:pPr>
    </w:p>
    <w:p>
      <w:pPr>
        <w:widowControl/>
        <w:pBdr>
          <w:top w:val="single" w:sz="36" w:space="1" w:color="2E74B5"/>
        </w:pBdr>
        <w:spacing w:after="560"/>
      </w:pPr>
    </w:p>
    <w:p>
      <w:pPr>
        <w:pStyle w:val="Title"/>
        <w:widowControl/>
        <w:jc w:val="left"/>
      </w:pPr>
      <w:r>
        <w:t>Uso ético, responsable y evaluable</w:t>
        <w:br/>
        <w:t>de IA generativa en universidades</w:t>
      </w:r>
    </w:p>
    <w:p>
      <w:pPr>
        <w:pStyle w:val="Subtitle"/>
        <w:widowControl/>
      </w:pPr>
      <w:r>
        <w:t>Informe base para políticas institucionales y cláusulas de syllabus en América Latina</w:t>
      </w:r>
    </w:p>
    <w:p>
      <w:pPr>
        <w:widowControl/>
        <w:spacing w:before="360" w:after="720"/>
      </w:pPr>
      <w:r>
        <w:rPr>
          <w:b/>
          <w:color w:val="2A7F7F"/>
          <w:sz w:val="20"/>
        </w:rPr>
        <w:t>ACTUALIZADO AL 26 DE AGOSTO DE 2026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3F7FA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0"/>
            </w:pPr>
            <w:r>
              <w:rPr>
                <w:b/>
                <w:color w:val="2A7F7F"/>
                <w:sz w:val="22"/>
              </w:rPr>
              <w:t>PROPÓSITO</w:t>
              <w:br/>
            </w:r>
            <w:r>
              <w:t>Permitir el uso de IA generativa como apoyo al aprendizaje —con límites explícitos, trazabilidad, verificación y responsabilidad humana— y dar al docente un mecanismo sencillo para decidir cuándo, cómo y en qué nivel puede utilizarse en cada actividad.</w:t>
            </w:r>
          </w:p>
        </w:tc>
      </w:tr>
    </w:tbl>
    <w:p>
      <w:pPr>
        <w:pStyle w:val="Caption"/>
        <w:keepLines w:val="0"/>
        <w:widowControl/>
      </w:pPr>
      <w:r>
        <w:t>Documento orientador para adopción inicial. Debe someterse a revisión académica, jurídica, de protección de datos, accesibilidad y propiedad intelectual antes de convertirse en normativa vinculante.</w:t>
      </w:r>
    </w:p>
    <w:p>
      <w:pPr>
        <w:pStyle w:val="Caption"/>
        <w:keepLines w:val="0"/>
        <w:widowControl/>
      </w:pPr>
      <w:r>
        <w:t>Eje principal: gobernanza y evaluación académica. Audiencia: autoridades, unidades de docencia, integridad académica, docentes y estudiantes.</w:t>
      </w:r>
    </w:p>
    <w:p>
      <w:pPr>
        <w:widowControl/>
      </w:pPr>
      <w:r>
        <w:br w:type="page"/>
      </w:r>
    </w:p>
    <w:p>
      <w:pPr>
        <w:pStyle w:val="Heading1"/>
        <w:widowControl/>
      </w:pPr>
      <w:r>
        <w:t>Resumen ejecutivo</w:t>
      </w:r>
    </w:p>
    <w:p>
      <w:pPr>
        <w:keepLines w:val="0"/>
        <w:widowControl/>
      </w:pPr>
      <w:r>
        <w:t>La política universitaria más útil en 2026 no es una prohibición general ni un permiso sin condiciones. Es un sistema de autorización por actividad, alineado con los resultados de aprendizaje y acompañado de evidencia del proceso. La IA puede apoyar la planificación, la retroalimentación, el análisis, la creación y la revisión; no reemplaza la responsabilidad intelectual del estudiante ni el juicio pedagógico del docente.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3F7FA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0"/>
            </w:pPr>
            <w:r>
              <w:rPr>
                <w:b/>
                <w:color w:val="2A7F7F"/>
                <w:sz w:val="22"/>
              </w:rPr>
              <w:t>RECOMENDACIÓN CENTRAL</w:t>
              <w:br/>
            </w:r>
            <w:r>
              <w:t>Adoptar la AI Assessment Scale (AIAS) versión 2 como lenguaje común de cinco niveles, etiquetar toda evaluación con un nivel y unas reglas concretas, y combinarla con dos vías de evaluación: una vía de aseguramiento humano en entorno controlado y otra vía abierta que integra IA de forma auténtica y verificable.</w:t>
            </w:r>
          </w:p>
        </w:tc>
      </w:tr>
    </w:tbl>
    <w:p>
      <w:pPr>
        <w:pStyle w:val="Heading2"/>
        <w:widowControl/>
      </w:pPr>
      <w:r>
        <w:t>Decisiones que este informe propone</w:t>
      </w:r>
    </w:p>
    <w:p>
      <w:pPr>
        <w:pStyle w:val="ListBullet"/>
        <w:widowControl/>
        <w:spacing w:after="60"/>
      </w:pPr>
      <w:r>
        <w:t>Definir un nivel AIAS v2 para cada tarea evaluada; un nivel no es un “porcentaje de IA” ni una jerarquía de calidad.</w:t>
      </w:r>
    </w:p>
    <w:p>
      <w:pPr>
        <w:pStyle w:val="ListBullet"/>
        <w:widowControl/>
        <w:spacing w:after="60"/>
      </w:pPr>
      <w:r>
        <w:t>Reservar el nivel 1 para evaluaciones realmente controladas. Una prohibición en una tarea domiciliaria no demuestra por sí sola autoría humana.</w:t>
      </w:r>
    </w:p>
    <w:p>
      <w:pPr>
        <w:pStyle w:val="ListBullet"/>
        <w:widowControl/>
        <w:spacing w:after="60"/>
      </w:pPr>
      <w:r>
        <w:t>Evaluar el razonamiento, las decisiones, la verificación y la transformación humana, además del producto final.</w:t>
      </w:r>
    </w:p>
    <w:p>
      <w:pPr>
        <w:pStyle w:val="ListBullet"/>
        <w:widowControl/>
        <w:spacing w:after="60"/>
      </w:pPr>
      <w:r>
        <w:t>Exigir una declaración proporcional de uso: herramienta y versión, finalidad, etapas, ejemplos de instrucciones, contenido incorporado, verificación y cambios humanos.</w:t>
      </w:r>
    </w:p>
    <w:p>
      <w:pPr>
        <w:pStyle w:val="ListBullet"/>
        <w:widowControl/>
        <w:spacing w:after="60"/>
      </w:pPr>
      <w:r>
        <w:t>Distinguir declaración de uso, citación y bibliografía: declarar siempre que corresponda; citar cuando se incorpora salida de IA; respaldar hechos con fuentes originales verificables.</w:t>
      </w:r>
    </w:p>
    <w:p>
      <w:pPr>
        <w:pStyle w:val="ListBullet"/>
        <w:widowControl/>
        <w:spacing w:after="60"/>
      </w:pPr>
      <w:r>
        <w:t>Prohibir el ingreso de datos personales, sensibles, confidenciales, inéditos o protegidos en servicios no autorizados.</w:t>
      </w:r>
    </w:p>
    <w:p>
      <w:pPr>
        <w:pStyle w:val="ListBullet"/>
        <w:widowControl/>
        <w:spacing w:after="60"/>
      </w:pPr>
      <w:r>
        <w:t>No usar un porcentaje de detector de IA como prueba única ni como calificación. Toda sospecha debe activar revisión contextual y debido proceso.</w:t>
      </w:r>
    </w:p>
    <w:p>
      <w:pPr>
        <w:pStyle w:val="ListBullet"/>
        <w:widowControl/>
        <w:spacing w:after="60"/>
      </w:pPr>
      <w:r>
        <w:t>Garantizar alternativas equivalentes cuando existan barreras de costo, idioma, discapacidad, disponibilidad o privacidad.</w:t>
      </w:r>
    </w:p>
    <w:p>
      <w:pPr>
        <w:pStyle w:val="ListBullet"/>
        <w:widowControl/>
        <w:spacing w:after="60"/>
      </w:pPr>
      <w:r>
        <w:t>Capacitar también a docentes y declarar el uso docente de IA en materiales o retroalimentación cuando sea sustantivo.</w:t>
      </w:r>
    </w:p>
    <w:p>
      <w:pPr>
        <w:pStyle w:val="ListBullet"/>
        <w:widowControl/>
        <w:spacing w:after="60"/>
      </w:pPr>
      <w:r>
        <w:t>Aplicar un piloto de 90 días, medir ambigüedad, carga y calidad, y ajustar antes de aprobar una política definitiva.</w:t>
      </w:r>
    </w:p>
    <w:p>
      <w:pPr>
        <w:pStyle w:val="Heading2"/>
        <w:widowControl/>
      </w:pPr>
      <w:r>
        <w:t>Qué cambia frente al marco de 2023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1800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7"/>
              </w:rPr>
              <w:t>Tema</w:t>
            </w:r>
          </w:p>
        </w:tc>
        <w:tc>
          <w:tcPr>
            <w:tcW w:type="dxa" w:w="3240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7"/>
              </w:rPr>
              <w:t>Enfoque inicial</w:t>
            </w:r>
          </w:p>
        </w:tc>
        <w:tc>
          <w:tcPr>
            <w:tcW w:type="dxa" w:w="4968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7"/>
              </w:rPr>
              <w:t>Actualización recomendada en 2026</w:t>
            </w:r>
          </w:p>
        </w:tc>
      </w:tr>
      <w:tr>
        <w:trPr>
          <w:cantSplit/>
        </w:trPr>
        <w:tc>
          <w:tcPr>
            <w:tcW w:type="dxa" w:w="180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AIAS</w:t>
            </w:r>
          </w:p>
        </w:tc>
        <w:tc>
          <w:tcPr>
            <w:tcW w:type="dxa" w:w="324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Versión 1, con cinco niveles y lógica visual tipo semáforo.</w:t>
            </w:r>
          </w:p>
        </w:tc>
        <w:tc>
          <w:tcPr>
            <w:tcW w:type="dxa" w:w="4968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Usar AIAS v2: No AI, AI Planning, AI Collaboration, Full AI y AI Exploration. Colores neutros y niveles no jerárquicos.</w:t>
            </w:r>
          </w:p>
        </w:tc>
      </w:tr>
      <w:tr>
        <w:trPr>
          <w:cantSplit/>
        </w:trPr>
        <w:tc>
          <w:tcPr>
            <w:tcW w:type="dxa" w:w="1800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Cantidad de IA</w:t>
            </w:r>
          </w:p>
        </w:tc>
        <w:tc>
          <w:tcPr>
            <w:tcW w:type="dxa" w:w="3240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Declarar un porcentaje estimado de intervención.</w:t>
            </w:r>
          </w:p>
        </w:tc>
        <w:tc>
          <w:tcPr>
            <w:tcW w:type="dxa" w:w="4968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Describir etapas, decisiones y evidencia. Los porcentajes no son medibles de forma válida y la AIAS no representa proporciones.</w:t>
            </w:r>
          </w:p>
        </w:tc>
      </w:tr>
      <w:tr>
        <w:trPr>
          <w:cantSplit/>
        </w:trPr>
        <w:tc>
          <w:tcPr>
            <w:tcW w:type="dxa" w:w="180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Control</w:t>
            </w:r>
          </w:p>
        </w:tc>
        <w:tc>
          <w:tcPr>
            <w:tcW w:type="dxa" w:w="324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Detectar texto generado y sancionar el resultado.</w:t>
            </w:r>
          </w:p>
        </w:tc>
        <w:tc>
          <w:tcPr>
            <w:tcW w:type="dxa" w:w="4968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Rediseñar la evaluación; tratar detectores solo como señal débil, nunca como prueba suficiente.</w:t>
            </w:r>
          </w:p>
        </w:tc>
      </w:tr>
      <w:tr>
        <w:trPr>
          <w:cantSplit/>
        </w:trPr>
        <w:tc>
          <w:tcPr>
            <w:tcW w:type="dxa" w:w="1800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Citación</w:t>
            </w:r>
          </w:p>
        </w:tc>
        <w:tc>
          <w:tcPr>
            <w:tcW w:type="dxa" w:w="3240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Una referencia genérica a la herramienta.</w:t>
            </w:r>
          </w:p>
        </w:tc>
        <w:tc>
          <w:tcPr>
            <w:tcW w:type="dxa" w:w="4968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Diferenciar reconocimiento, cita de una conversación recuperable y fuentes originales; usar la guía de estilo vigente.</w:t>
            </w:r>
          </w:p>
        </w:tc>
      </w:tr>
      <w:tr>
        <w:trPr>
          <w:cantSplit/>
        </w:trPr>
        <w:tc>
          <w:tcPr>
            <w:tcW w:type="dxa" w:w="180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Prohibición</w:t>
            </w:r>
          </w:p>
        </w:tc>
        <w:tc>
          <w:tcPr>
            <w:tcW w:type="dxa" w:w="324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“No IA” como regla escrita para trabajos fuera del aula.</w:t>
            </w:r>
          </w:p>
        </w:tc>
        <w:tc>
          <w:tcPr>
            <w:tcW w:type="dxa" w:w="4968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Nivel 1 solo cuando hay condiciones de supervisión y ajustes razonables; en otros casos recoger evidencia del proceso.</w:t>
            </w:r>
          </w:p>
        </w:tc>
      </w:tr>
    </w:tbl>
    <w:p>
      <w:pPr>
        <w:widowControl/>
        <w:spacing w:after="0"/>
      </w:pPr>
    </w:p>
    <w:p>
      <w:pPr>
        <w:pStyle w:val="Heading1"/>
        <w:widowControl/>
      </w:pPr>
      <w:r>
        <w:t>Contenido</w:t>
      </w:r>
    </w:p>
    <w:p>
      <w:pPr>
        <w:pStyle w:val="ListBullet"/>
        <w:widowControl/>
        <w:spacing w:after="60"/>
      </w:pPr>
      <w:r>
        <w:t>1. Alcance, método y límites</w:t>
      </w:r>
    </w:p>
    <w:p>
      <w:pPr>
        <w:pStyle w:val="ListBullet"/>
        <w:widowControl/>
        <w:spacing w:after="60"/>
      </w:pPr>
      <w:r>
        <w:t>2. Panorama internacional y latinoamericano a 2026</w:t>
      </w:r>
    </w:p>
    <w:p>
      <w:pPr>
        <w:pStyle w:val="ListBullet"/>
        <w:widowControl/>
        <w:spacing w:after="60"/>
      </w:pPr>
      <w:r>
        <w:t>3. Marco de gobernanza por capas</w:t>
      </w:r>
    </w:p>
    <w:p>
      <w:pPr>
        <w:pStyle w:val="ListBullet"/>
        <w:widowControl/>
        <w:spacing w:after="60"/>
      </w:pPr>
      <w:r>
        <w:t>4. Principios institucionales</w:t>
      </w:r>
    </w:p>
    <w:p>
      <w:pPr>
        <w:pStyle w:val="ListBullet"/>
        <w:widowControl/>
        <w:spacing w:after="60"/>
      </w:pPr>
      <w:r>
        <w:t>5. Cómo evaluar con IA: dos vías y AIAS v2</w:t>
      </w:r>
    </w:p>
    <w:p>
      <w:pPr>
        <w:pStyle w:val="ListBullet"/>
        <w:widowControl/>
        <w:spacing w:after="60"/>
      </w:pPr>
      <w:r>
        <w:t>6. Evidencias, rúbricas y autenticidad</w:t>
      </w:r>
    </w:p>
    <w:p>
      <w:pPr>
        <w:pStyle w:val="ListBullet"/>
        <w:widowControl/>
        <w:spacing w:after="60"/>
      </w:pPr>
      <w:r>
        <w:t>7. Reglas operativas: transparencia, citación, datos y propiedad intelectual</w:t>
      </w:r>
    </w:p>
    <w:p>
      <w:pPr>
        <w:pStyle w:val="ListBullet"/>
        <w:widowControl/>
        <w:spacing w:after="60"/>
      </w:pPr>
      <w:r>
        <w:t>8. Modelo de política institucional base</w:t>
      </w:r>
    </w:p>
    <w:p>
      <w:pPr>
        <w:pStyle w:val="ListBullet"/>
        <w:widowControl/>
        <w:spacing w:after="60"/>
      </w:pPr>
      <w:r>
        <w:t>9. Apartado listo para syllabus</w:t>
      </w:r>
    </w:p>
    <w:p>
      <w:pPr>
        <w:pStyle w:val="ListBullet"/>
        <w:widowControl/>
        <w:spacing w:after="60"/>
      </w:pPr>
      <w:r>
        <w:t>10. Plantillas por actividad y ejemplos</w:t>
      </w:r>
    </w:p>
    <w:p>
      <w:pPr>
        <w:pStyle w:val="ListBullet"/>
        <w:widowControl/>
        <w:spacing w:after="60"/>
      </w:pPr>
      <w:r>
        <w:t>11. Procedimiento ante posibles incumplimientos</w:t>
      </w:r>
    </w:p>
    <w:p>
      <w:pPr>
        <w:pStyle w:val="ListBullet"/>
        <w:widowControl/>
        <w:spacing w:after="60"/>
      </w:pPr>
      <w:r>
        <w:t>12. Implementación inicial de 90 días</w:t>
      </w:r>
    </w:p>
    <w:p>
      <w:pPr>
        <w:pStyle w:val="ListBullet"/>
        <w:widowControl/>
        <w:spacing w:after="60"/>
      </w:pPr>
      <w:r>
        <w:t>13. Listas de comprobación</w:t>
      </w:r>
    </w:p>
    <w:p>
      <w:pPr>
        <w:pStyle w:val="ListBullet"/>
        <w:widowControl/>
        <w:spacing w:after="60"/>
      </w:pPr>
      <w:r>
        <w:t>Anexos y fuentes</w:t>
      </w:r>
    </w:p>
    <w:p>
      <w:pPr>
        <w:widowControl/>
      </w:pPr>
      <w:r>
        <w:br w:type="page"/>
      </w:r>
    </w:p>
    <w:p>
      <w:pPr>
        <w:pStyle w:val="Heading1"/>
        <w:widowControl/>
      </w:pPr>
      <w:r>
        <w:t>1. Alcance, método y límites</w:t>
      </w:r>
    </w:p>
    <w:p>
      <w:pPr>
        <w:keepLines w:val="0"/>
        <w:widowControl/>
      </w:pPr>
      <w:r>
        <w:t>Este informe sintetiza marcos internacionales, orientación regulatoria, políticas universitarias y los documentos adjuntos. Prioriza fuentes oficiales o revisadas por pares y separa tres categorías: obligación jurídica, política institucional y recomendación pedagógica. No presenta como ley una práctica de otra universidad ni convierte una recomendación internacional en norma local.</w:t>
      </w:r>
    </w:p>
    <w:p>
      <w:pPr>
        <w:pStyle w:val="Heading2"/>
        <w:widowControl/>
      </w:pPr>
      <w:r>
        <w:t>1.1 Fuentes y criterio de verificación</w:t>
      </w:r>
    </w:p>
    <w:p>
      <w:pPr>
        <w:keepLines w:val="0"/>
        <w:widowControl/>
      </w:pPr>
      <w:r>
        <w:t>Se revisaron la página original de AIAS v1 aportada por el usuario, la actualización de AIAS y su publicación revisada por pares; documentos de UNESCO, TEQSA, University of Sydney y guías oficiales de universidades latinoamericanas; además de los materiales adjuntos sobre citación, talleres docentes, bitácora, rúbrica, transparencia y políticas mínimas. Las afirmaciones de actualidad se contrastaron con fuentes públicas vigentes al 26 de agosto de 2026.</w:t>
      </w:r>
    </w:p>
    <w:p>
      <w:pPr>
        <w:keepLines w:val="0"/>
        <w:widowControl/>
      </w:pPr>
      <w:r>
        <w:t>El PDF adjunto “Claude.pdf” se utilizó como mapa de temas y casos, pero sus afirmaciones no se aceptaron automáticamente: se retuvieron solo aquellas que pudieron sostenerse con fuentes primarias o revisadas por pares. Esta cautela es coherente con la propia recomendación de verificar toda salida de IA.</w:t>
      </w:r>
    </w:p>
    <w:p>
      <w:pPr>
        <w:pStyle w:val="Heading2"/>
        <w:widowControl/>
      </w:pPr>
      <w:r>
        <w:t>1.2 Naturaleza del documento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1872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7"/>
              </w:rPr>
              <w:t>Capa</w:t>
            </w:r>
          </w:p>
        </w:tc>
        <w:tc>
          <w:tcPr>
            <w:tcW w:type="dxa" w:w="4032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7"/>
              </w:rPr>
              <w:t>Qué resuelve</w:t>
            </w:r>
          </w:p>
        </w:tc>
        <w:tc>
          <w:tcPr>
            <w:tcW w:type="dxa" w:w="4032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7"/>
              </w:rPr>
              <w:t>Qué no resuelve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Documento base</w:t>
            </w:r>
          </w:p>
        </w:tc>
        <w:tc>
          <w:tcPr>
            <w:tcW w:type="dxa" w:w="40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Lenguaje común, reglas mínimas, modelos de cláusula y proceso de implementación.</w:t>
            </w:r>
          </w:p>
        </w:tc>
        <w:tc>
          <w:tcPr>
            <w:tcW w:type="dxa" w:w="40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No sustituye aprobación por órganos de gobierno ni revisión jurídica local.</w:t>
            </w:r>
          </w:p>
        </w:tc>
      </w:tr>
      <w:tr>
        <w:trPr>
          <w:cantSplit/>
        </w:trPr>
        <w:tc>
          <w:tcPr>
            <w:tcW w:type="dxa" w:w="1872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Política institucional</w:t>
            </w:r>
          </w:p>
        </w:tc>
        <w:tc>
          <w:tcPr>
            <w:tcW w:type="dxa" w:w="4032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Principios, derechos, deberes, datos, integridad, debido proceso y responsabilidades.</w:t>
            </w:r>
          </w:p>
        </w:tc>
        <w:tc>
          <w:tcPr>
            <w:tcW w:type="dxa" w:w="4032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No debe prescribir el mismo nivel de IA para todas las disciplinas.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Syllabus</w:t>
            </w:r>
          </w:p>
        </w:tc>
        <w:tc>
          <w:tcPr>
            <w:tcW w:type="dxa" w:w="40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Regla del curso, herramientas, evidencias y consecuencias.</w:t>
            </w:r>
          </w:p>
        </w:tc>
        <w:tc>
          <w:tcPr>
            <w:tcW w:type="dxa" w:w="40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No basta si las instrucciones de cada tarea siguen siendo ambiguas.</w:t>
            </w:r>
          </w:p>
        </w:tc>
      </w:tr>
      <w:tr>
        <w:trPr>
          <w:cantSplit/>
        </w:trPr>
        <w:tc>
          <w:tcPr>
            <w:tcW w:type="dxa" w:w="1872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Consigna de actividad</w:t>
            </w:r>
          </w:p>
        </w:tc>
        <w:tc>
          <w:tcPr>
            <w:tcW w:type="dxa" w:w="4032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Nivel AIAS, usos permitidos/prohibidos, entregables y rúbrica.</w:t>
            </w:r>
          </w:p>
        </w:tc>
        <w:tc>
          <w:tcPr>
            <w:tcW w:type="dxa" w:w="4032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No debe contradecir la política institucional ni el syllabus.</w:t>
            </w:r>
          </w:p>
        </w:tc>
      </w:tr>
    </w:tbl>
    <w:p>
      <w:pPr>
        <w:widowControl/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3F7FA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0"/>
            </w:pPr>
            <w:r>
              <w:rPr>
                <w:b/>
                <w:color w:val="2E74B5"/>
                <w:sz w:val="22"/>
              </w:rPr>
              <w:t>LÍMITE JURÍDICO</w:t>
              <w:br/>
            </w:r>
            <w:r>
              <w:t>La aplicación concreta depende del país y de la institución: protección de datos, consumidor, propiedad intelectual, régimen disciplinario, acreditación profesional, investigación con seres humanos y convenios de confidencialidad pueden imponer obligaciones adicionales.</w:t>
            </w:r>
          </w:p>
        </w:tc>
      </w:tr>
    </w:tbl>
    <w:p>
      <w:pPr>
        <w:pStyle w:val="Heading1"/>
        <w:widowControl/>
      </w:pPr>
      <w:r>
        <w:t>2. Panorama internacional y latinoamericano a 2026</w:t>
      </w:r>
    </w:p>
    <w:p>
      <w:pPr>
        <w:pStyle w:val="Heading2"/>
        <w:widowControl/>
      </w:pPr>
      <w:r>
        <w:t>2.1 Del “prohibir y detectar” al “diseñar, declarar y demostrar”</w:t>
      </w:r>
    </w:p>
    <w:p>
      <w:pPr>
        <w:keepLines w:val="0"/>
        <w:widowControl/>
      </w:pPr>
      <w:r>
        <w:t>La adopción institucional creció con rapidez, aunque de forma desigual. Una encuesta de UNESCO difundida en 2025 indicó que 19% de las instituciones consultadas ya tenía una política formal de IA y 42% la estaba desarrollando. UNESCO-IESALC volvió a destacar en 2026 la brecha regional: alrededor de 70% en Europa y Norteamérica frente a aproximadamente 45% en América Latina y el Caribe con políticas o guías en desarrollo. Las cifras describen una muestra institucional, no un censo mundial.</w:t>
      </w:r>
    </w:p>
    <w:p>
      <w:pPr>
        <w:keepLines w:val="0"/>
        <w:widowControl/>
      </w:pPr>
      <w:r>
        <w:t>La orientación convergente es humanista y pedagógica: proteger datos, mantener agencia humana, formar competencias de IA, validar resultados, asegurar equidad y rediseñar la evaluación. La pregunta madura ya no es “¿se usó IA?”, sino “¿este uso estaba autorizado, fue visible, apoyó el resultado de aprendizaje y dejó evidencia suficiente del juicio humano?”.</w:t>
      </w:r>
    </w:p>
    <w:p>
      <w:pPr>
        <w:pStyle w:val="Heading2"/>
        <w:widowControl/>
      </w:pPr>
      <w:r>
        <w:t>2.2 Referentes comparados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1944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6"/>
              </w:rPr>
              <w:t>Referente</w:t>
            </w:r>
          </w:p>
        </w:tc>
        <w:tc>
          <w:tcPr>
            <w:tcW w:type="dxa" w:w="4320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6"/>
              </w:rPr>
              <w:t>Regla o enfoque relevante</w:t>
            </w:r>
          </w:p>
        </w:tc>
        <w:tc>
          <w:tcPr>
            <w:tcW w:type="dxa" w:w="3600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6"/>
              </w:rPr>
              <w:t>Lección transferible</w:t>
            </w:r>
          </w:p>
        </w:tc>
      </w:tr>
      <w:tr>
        <w:trPr>
          <w:cantSplit/>
        </w:trPr>
        <w:tc>
          <w:tcPr>
            <w:tcW w:type="dxa" w:w="194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UNESCO (2023–2026)</w:t>
            </w:r>
          </w:p>
        </w:tc>
        <w:tc>
          <w:tcPr>
            <w:tcW w:type="dxa" w:w="432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Enfoque centrado en la persona; privacidad; validación ética y pedagógica; marcos de competencias para estudiantes y docentes.</w:t>
            </w:r>
          </w:p>
        </w:tc>
        <w:tc>
          <w:tcPr>
            <w:tcW w:type="dxa" w:w="360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La política debe incluir alfabetización, no solo prohibiciones.</w:t>
            </w:r>
          </w:p>
        </w:tc>
      </w:tr>
      <w:tr>
        <w:trPr>
          <w:cantSplit/>
        </w:trPr>
        <w:tc>
          <w:tcPr>
            <w:tcW w:type="dxa" w:w="1944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TEQSA, Australia (2025–2026)</w:t>
            </w:r>
          </w:p>
        </w:tc>
        <w:tc>
          <w:tcPr>
            <w:tcW w:type="dxa" w:w="4320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Reforma de evaluación a nivel de programa; juicio evaluativo, pensamiento crítico y razonamiento ético; cautela con detectores.</w:t>
            </w:r>
          </w:p>
        </w:tc>
        <w:tc>
          <w:tcPr>
            <w:tcW w:type="dxa" w:w="3600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Asegurar aprendizaje mediante diseño y evidencia, no mediante vigilancia automática.</w:t>
            </w:r>
          </w:p>
        </w:tc>
      </w:tr>
      <w:tr>
        <w:trPr>
          <w:cantSplit/>
        </w:trPr>
        <w:tc>
          <w:tcPr>
            <w:tcW w:type="dxa" w:w="194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University of Sydney</w:t>
            </w:r>
          </w:p>
        </w:tc>
        <w:tc>
          <w:tcPr>
            <w:tcW w:type="dxa" w:w="432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Dos vías: evaluaciones seguras/supervisadas y evaluaciones abiertas que integran herramientas pertinentes.</w:t>
            </w:r>
          </w:p>
        </w:tc>
        <w:tc>
          <w:tcPr>
            <w:tcW w:type="dxa" w:w="360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Combinar demostración humana con preparación auténtica para el trabajo.</w:t>
            </w:r>
          </w:p>
        </w:tc>
      </w:tr>
      <w:tr>
        <w:trPr>
          <w:cantSplit/>
        </w:trPr>
        <w:tc>
          <w:tcPr>
            <w:tcW w:type="dxa" w:w="1944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Universidad de los Andes, Colombia</w:t>
            </w:r>
          </w:p>
        </w:tc>
        <w:tc>
          <w:tcPr>
            <w:tcW w:type="dxa" w:w="4320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Reglas explícitas en syllabus y actividades; alineación con resultados; transparencia; protección de datos; detectores no fiables.</w:t>
            </w:r>
          </w:p>
        </w:tc>
        <w:tc>
          <w:tcPr>
            <w:tcW w:type="dxa" w:w="3600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El docente decide por actividad dentro de un marco institucional común.</w:t>
            </w:r>
          </w:p>
        </w:tc>
      </w:tr>
      <w:tr>
        <w:trPr>
          <w:cantSplit/>
        </w:trPr>
        <w:tc>
          <w:tcPr>
            <w:tcW w:type="dxa" w:w="194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Universidad de Chile</w:t>
            </w:r>
          </w:p>
        </w:tc>
        <w:tc>
          <w:tcPr>
            <w:tcW w:type="dxa" w:w="432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En tesis, declaración incluso de no uso; detalle metodológico y verificación cuando el uso es sustantivo; IA no es coautora.</w:t>
            </w:r>
          </w:p>
        </w:tc>
        <w:tc>
          <w:tcPr>
            <w:tcW w:type="dxa" w:w="360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La trazabilidad aumenta con la relevancia y el riesgo del trabajo.</w:t>
            </w:r>
          </w:p>
        </w:tc>
      </w:tr>
      <w:tr>
        <w:trPr>
          <w:cantSplit/>
        </w:trPr>
        <w:tc>
          <w:tcPr>
            <w:tcW w:type="dxa" w:w="1944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ESPOCH, Ecuador</w:t>
            </w:r>
          </w:p>
        </w:tc>
        <w:tc>
          <w:tcPr>
            <w:tcW w:type="dxa" w:w="4320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Uso complementario, declaración, citación, protección de datos, niveles definidos por el docente y formación.</w:t>
            </w:r>
          </w:p>
        </w:tc>
        <w:tc>
          <w:tcPr>
            <w:tcW w:type="dxa" w:w="3600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Existe base regional para una adopción por niveles; conviene actualizar de AIAS v1 a v2.</w:t>
            </w:r>
          </w:p>
        </w:tc>
      </w:tr>
      <w:tr>
        <w:trPr>
          <w:cantSplit/>
        </w:trPr>
        <w:tc>
          <w:tcPr>
            <w:tcW w:type="dxa" w:w="194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UISEK, Ecuador</w:t>
            </w:r>
          </w:p>
        </w:tc>
        <w:tc>
          <w:tcPr>
            <w:tcW w:type="dxa" w:w="432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Integridad, responsabilidad, transparencia, no discriminación y datos; reconoce falsos positivos/negativos de detectores.</w:t>
            </w:r>
          </w:p>
        </w:tc>
        <w:tc>
          <w:tcPr>
            <w:tcW w:type="dxa" w:w="360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Los alertas técnicos requieren interpretación y debido proceso.</w:t>
            </w:r>
          </w:p>
        </w:tc>
      </w:tr>
      <w:tr>
        <w:trPr>
          <w:cantSplit/>
        </w:trPr>
        <w:tc>
          <w:tcPr>
            <w:tcW w:type="dxa" w:w="1944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Tecnológico de Monterrey</w:t>
            </w:r>
          </w:p>
        </w:tc>
        <w:tc>
          <w:tcPr>
            <w:tcW w:type="dxa" w:w="4320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Principios éticos, autorización docente, declaración y revisión humana; orientación diferenciada para estudiantes y docentes.</w:t>
            </w:r>
          </w:p>
        </w:tc>
        <w:tc>
          <w:tcPr>
            <w:tcW w:type="dxa" w:w="3600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La gobernanza funciona mejor cuando también obliga y capacita al profesorado.</w:t>
            </w:r>
          </w:p>
        </w:tc>
      </w:tr>
    </w:tbl>
    <w:p>
      <w:pPr>
        <w:widowControl/>
        <w:spacing w:after="0"/>
      </w:pPr>
    </w:p>
    <w:p>
      <w:pPr>
        <w:pStyle w:val="Heading2"/>
        <w:widowControl/>
      </w:pPr>
      <w:r>
        <w:t>2.3 Precedentes regulatorios externos</w:t>
      </w:r>
    </w:p>
    <w:p>
      <w:pPr>
        <w:keepLines w:val="0"/>
        <w:widowControl/>
      </w:pPr>
      <w:r>
        <w:t>El Reglamento Europeo de IA es un referente útil, aunque no se aplica automáticamente a toda universidad latinoamericana. Su artículo 4 introdujo obligaciones de alfabetización en IA para proveedores y responsables del despliegue desde febrero de 2025; determinados usos de IA en educación —por ejemplo, algunas decisiones de admisión o evaluación— pueden clasificarse como alto riesgo. Para América Latina, la enseñanza práctica es proporcionalidad: cuanto mayor sea el impacto sobre derechos o trayectoria académica, mayor deben ser la supervisión humana, la documentación, la gestión de riesgos y la posibilidad de impugnar.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3F7FA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0"/>
            </w:pPr>
            <w:r>
              <w:rPr>
                <w:b/>
                <w:color w:val="2E74B5"/>
                <w:sz w:val="22"/>
              </w:rPr>
              <w:t>NO CONFUNDIR</w:t>
              <w:br/>
            </w:r>
            <w:r>
              <w:t>Usar ChatGPT para generar ideas en una tarea no convierte por sí solo a la actividad en un sistema de “alto riesgo”. El riesgo depende de la función, el impacto, el contexto jurídico y quién toma la decisión.</w:t>
            </w:r>
          </w:p>
        </w:tc>
      </w:tr>
    </w:tbl>
    <w:p>
      <w:pPr>
        <w:pStyle w:val="Heading1"/>
        <w:widowControl/>
      </w:pPr>
      <w:r>
        <w:t>3. Marco de gobernanza por capas</w:t>
      </w:r>
    </w:p>
    <w:p>
      <w:pPr>
        <w:keepLines w:val="0"/>
        <w:widowControl/>
      </w:pPr>
      <w:r>
        <w:t>Una norma eficaz distribuye decisiones. La institución fija el piso; el programa asegura coherencia; el docente diseña; la consigna concreta; y el estudiante documenta. Si una capa falta, aparece ambigüedad o arbitrariedad.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1512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6"/>
              </w:rPr>
              <w:t>Capa</w:t>
            </w:r>
          </w:p>
        </w:tc>
        <w:tc>
          <w:tcPr>
            <w:tcW w:type="dxa" w:w="3816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6"/>
              </w:rPr>
              <w:t>Decisión principal</w:t>
            </w:r>
          </w:p>
        </w:tc>
        <w:tc>
          <w:tcPr>
            <w:tcW w:type="dxa" w:w="2664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6"/>
              </w:rPr>
              <w:t>Responsable</w:t>
            </w:r>
          </w:p>
        </w:tc>
        <w:tc>
          <w:tcPr>
            <w:tcW w:type="dxa" w:w="1944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6"/>
              </w:rPr>
              <w:t>Revisión sugerida</w:t>
            </w:r>
          </w:p>
        </w:tc>
      </w:tr>
      <w:tr>
        <w:trPr>
          <w:cantSplit/>
        </w:trPr>
        <w:tc>
          <w:tcPr>
            <w:tcW w:type="dxa" w:w="151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1. Institución</w:t>
            </w:r>
          </w:p>
        </w:tc>
        <w:tc>
          <w:tcPr>
            <w:tcW w:type="dxa" w:w="3816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Principios, datos, acceso, integridad, debido proceso, herramientas autorizadas.</w:t>
            </w:r>
          </w:p>
        </w:tc>
        <w:tc>
          <w:tcPr>
            <w:tcW w:type="dxa" w:w="266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Consejo académico + áreas jurídica, TI, biblioteca, accesibilidad e integridad.</w:t>
            </w:r>
          </w:p>
        </w:tc>
        <w:tc>
          <w:tcPr>
            <w:tcW w:type="dxa" w:w="194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Anual o ante cambios regulatorios/tecnológicos relevantes.</w:t>
            </w:r>
          </w:p>
        </w:tc>
      </w:tr>
      <w:tr>
        <w:trPr>
          <w:cantSplit/>
        </w:trPr>
        <w:tc>
          <w:tcPr>
            <w:tcW w:type="dxa" w:w="1512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2. Programa/carrera</w:t>
            </w:r>
          </w:p>
        </w:tc>
        <w:tc>
          <w:tcPr>
            <w:tcW w:type="dxa" w:w="3816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Mapa de capacidades humanas que deben demostrarse y experiencias de IA que deben aprenderse.</w:t>
            </w:r>
          </w:p>
        </w:tc>
        <w:tc>
          <w:tcPr>
            <w:tcW w:type="dxa" w:w="2664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Dirección de programa y comité curricular.</w:t>
            </w:r>
          </w:p>
        </w:tc>
        <w:tc>
          <w:tcPr>
            <w:tcW w:type="dxa" w:w="1944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Cada ciclo curricular.</w:t>
            </w:r>
          </w:p>
        </w:tc>
      </w:tr>
      <w:tr>
        <w:trPr>
          <w:cantSplit/>
        </w:trPr>
        <w:tc>
          <w:tcPr>
            <w:tcW w:type="dxa" w:w="151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3. Curso/syllabus</w:t>
            </w:r>
          </w:p>
        </w:tc>
        <w:tc>
          <w:tcPr>
            <w:tcW w:type="dxa" w:w="3816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Regla general, nivel por evaluación, evidencias, citación, acceso y consecuencias.</w:t>
            </w:r>
          </w:p>
        </w:tc>
        <w:tc>
          <w:tcPr>
            <w:tcW w:type="dxa" w:w="266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Docente/coordinación.</w:t>
            </w:r>
          </w:p>
        </w:tc>
        <w:tc>
          <w:tcPr>
            <w:tcW w:type="dxa" w:w="194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Cada período académico.</w:t>
            </w:r>
          </w:p>
        </w:tc>
      </w:tr>
      <w:tr>
        <w:trPr>
          <w:cantSplit/>
        </w:trPr>
        <w:tc>
          <w:tcPr>
            <w:tcW w:type="dxa" w:w="1512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4. Actividad</w:t>
            </w:r>
          </w:p>
        </w:tc>
        <w:tc>
          <w:tcPr>
            <w:tcW w:type="dxa" w:w="3816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Usos permitidos/prohibidos, herramientas, datos, entregables y criterios.</w:t>
            </w:r>
          </w:p>
        </w:tc>
        <w:tc>
          <w:tcPr>
            <w:tcW w:type="dxa" w:w="2664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Docente.</w:t>
            </w:r>
          </w:p>
        </w:tc>
        <w:tc>
          <w:tcPr>
            <w:tcW w:type="dxa" w:w="1944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Antes de publicar la consigna.</w:t>
            </w:r>
          </w:p>
        </w:tc>
      </w:tr>
      <w:tr>
        <w:trPr>
          <w:cantSplit/>
        </w:trPr>
        <w:tc>
          <w:tcPr>
            <w:tcW w:type="dxa" w:w="151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5. Evidencia del estudiante</w:t>
            </w:r>
          </w:p>
        </w:tc>
        <w:tc>
          <w:tcPr>
            <w:tcW w:type="dxa" w:w="3816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Declaración, bitácora, borradores, fuentes, validación y reflexión.</w:t>
            </w:r>
          </w:p>
        </w:tc>
        <w:tc>
          <w:tcPr>
            <w:tcW w:type="dxa" w:w="266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Estudiante.</w:t>
            </w:r>
          </w:p>
        </w:tc>
        <w:tc>
          <w:tcPr>
            <w:tcW w:type="dxa" w:w="194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En cada entrega según el nivel.</w:t>
            </w:r>
          </w:p>
        </w:tc>
      </w:tr>
    </w:tbl>
    <w:p>
      <w:pPr>
        <w:widowControl/>
        <w:spacing w:after="0"/>
      </w:pPr>
    </w:p>
    <w:p>
      <w:pPr>
        <w:pStyle w:val="Heading2"/>
        <w:widowControl/>
      </w:pPr>
      <w:r>
        <w:t>3.1 Regla de prevalencia</w:t>
      </w:r>
    </w:p>
    <w:p>
      <w:pPr>
        <w:keepLines w:val="0"/>
        <w:widowControl/>
      </w:pPr>
      <w:r>
        <w:t>La norma más específica prevalece solo si respeta la capa superior. Una consigna puede permitir más o menos IA que la regla general del curso, siempre que lo diga antes de la actividad, sea coherente con el resultado de aprendizaje y no vulnere protección de datos, equidad o integridad. Los cambios posteriores a la publicación no deben perjudicar al estudiante.</w:t>
      </w:r>
    </w:p>
    <w:p>
      <w:pPr>
        <w:pStyle w:val="Heading2"/>
        <w:widowControl/>
      </w:pPr>
      <w:r>
        <w:t>3.2 Regla por defecto recomendada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3F7FA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0"/>
            </w:pPr>
            <w:r>
              <w:rPr>
                <w:b/>
                <w:color w:val="2A7F7F"/>
                <w:sz w:val="22"/>
              </w:rPr>
              <w:t>SI UNA ACTIVIDAD CALIFICADA NO INDICA NIVEL</w:t>
              <w:br/>
            </w:r>
            <w:r>
              <w:t>Aplicar Nivel 2 —IA solo para planificación— con declaración obligatoria, salvo que el syllabus establezca otra regla. Para exámenes o demostraciones controladas, Nivel 1. La institución puede elegir una regla más restrictiva, pero debe publicarla y evitar el silencio normativo.</w:t>
            </w:r>
          </w:p>
        </w:tc>
      </w:tr>
    </w:tbl>
    <w:p>
      <w:pPr>
        <w:keepLines w:val="0"/>
        <w:widowControl/>
      </w:pPr>
      <w:r>
        <w:t>Esta propuesta es deliberadamente habilitadora y prudente: permite apoyo inicial sin presumir autorización para delegar la producción final. Lo óptimo sigue siendo que toda actividad evaluada lleve una etiqueta explícita.</w:t>
      </w:r>
    </w:p>
    <w:p>
      <w:pPr>
        <w:pStyle w:val="Heading1"/>
        <w:widowControl/>
      </w:pPr>
      <w:r>
        <w:t>4. Principios institucionales</w:t>
      </w:r>
    </w:p>
    <w:p>
      <w:pPr>
        <w:widowControl/>
        <w:spacing w:after="80"/>
      </w:pPr>
      <w:r>
        <w:rPr>
          <w:b/>
          <w:color w:val="1F4D78"/>
        </w:rPr>
        <w:t xml:space="preserve">1. Propósito pedagógico. </w:t>
      </w:r>
      <w:r>
        <w:t>La IA se autoriza o limita según los resultados de aprendizaje, no por moda, temor o disponibilidad técnica.</w:t>
      </w:r>
    </w:p>
    <w:p>
      <w:pPr>
        <w:widowControl/>
        <w:spacing w:after="80"/>
      </w:pPr>
      <w:r>
        <w:rPr>
          <w:b/>
          <w:color w:val="1F4D78"/>
        </w:rPr>
        <w:t xml:space="preserve">2. Agencia y responsabilidad humana. </w:t>
      </w:r>
      <w:r>
        <w:t>El estudiante conserva autoría responsable: decide, verifica, transforma y responde por lo entregado. La IA no es coautora.</w:t>
      </w:r>
    </w:p>
    <w:p>
      <w:pPr>
        <w:widowControl/>
        <w:spacing w:after="80"/>
      </w:pPr>
      <w:r>
        <w:rPr>
          <w:b/>
          <w:color w:val="1F4D78"/>
        </w:rPr>
        <w:t xml:space="preserve">3. Transparencia proporcional. </w:t>
      </w:r>
      <w:r>
        <w:t>El uso se declara con el nivel de detalle necesario para comprender su influencia y reproducir decisiones relevantes.</w:t>
      </w:r>
    </w:p>
    <w:p>
      <w:pPr>
        <w:widowControl/>
        <w:spacing w:after="80"/>
      </w:pPr>
      <w:r>
        <w:rPr>
          <w:b/>
          <w:color w:val="1F4D78"/>
        </w:rPr>
        <w:t xml:space="preserve">4. Integridad académica. </w:t>
      </w:r>
      <w:r>
        <w:t>Presentar como propio un contenido generado en contra de la consigna, ocultar un uso exigido o inventar evidencias constituye incumplimiento.</w:t>
      </w:r>
    </w:p>
    <w:p>
      <w:pPr>
        <w:widowControl/>
        <w:spacing w:after="80"/>
      </w:pPr>
      <w:r>
        <w:rPr>
          <w:b/>
          <w:color w:val="1F4D78"/>
        </w:rPr>
        <w:t xml:space="preserve">5. Veracidad y verificación. </w:t>
      </w:r>
      <w:r>
        <w:t>Las salidas se contrastan con fuentes primarias o académicas. Una referencia sugerida por IA no se cita sin abrirla y comprobarla.</w:t>
      </w:r>
    </w:p>
    <w:p>
      <w:pPr>
        <w:widowControl/>
        <w:spacing w:after="80"/>
      </w:pPr>
      <w:r>
        <w:rPr>
          <w:b/>
          <w:color w:val="1F4D78"/>
        </w:rPr>
        <w:t xml:space="preserve">6. Privacidad y seguridad. </w:t>
      </w:r>
      <w:r>
        <w:t>No se ingresan datos personales, sensibles, confidenciales, inéditos ni institucionales restringidos en servicios no autorizados.</w:t>
      </w:r>
    </w:p>
    <w:p>
      <w:pPr>
        <w:widowControl/>
        <w:spacing w:after="80"/>
      </w:pPr>
      <w:r>
        <w:rPr>
          <w:b/>
          <w:color w:val="1F4D78"/>
        </w:rPr>
        <w:t xml:space="preserve">7. Equidad, inclusión y accesibilidad. </w:t>
      </w:r>
      <w:r>
        <w:t>Se prevén alternativas equivalentes, ajustes razonables y acceso comparable; no se penaliza a quien no pueda usar un servicio comercial.</w:t>
      </w:r>
    </w:p>
    <w:p>
      <w:pPr>
        <w:widowControl/>
        <w:spacing w:after="80"/>
      </w:pPr>
      <w:r>
        <w:rPr>
          <w:b/>
          <w:color w:val="1F4D78"/>
        </w:rPr>
        <w:t xml:space="preserve">8. No discriminación. </w:t>
      </w:r>
      <w:r>
        <w:t>Se examinan sesgos culturales, lingüísticos, de género, raza, discapacidad y territorio, especialmente en decisiones o representaciones de personas.</w:t>
      </w:r>
    </w:p>
    <w:p>
      <w:pPr>
        <w:widowControl/>
        <w:spacing w:after="80"/>
      </w:pPr>
      <w:r>
        <w:rPr>
          <w:b/>
          <w:color w:val="1F4D78"/>
        </w:rPr>
        <w:t xml:space="preserve">9. Propiedad intelectual y procedencia. </w:t>
      </w:r>
      <w:r>
        <w:t>Se respetan licencias, derechos de autor, consentimiento, términos de servicio y procedencia de datos, imágenes, audio y código.</w:t>
      </w:r>
    </w:p>
    <w:p>
      <w:pPr>
        <w:widowControl/>
        <w:spacing w:after="80"/>
      </w:pPr>
      <w:r>
        <w:rPr>
          <w:b/>
          <w:color w:val="1F4D78"/>
        </w:rPr>
        <w:t xml:space="preserve">10. Supervisión y debido proceso. </w:t>
      </w:r>
      <w:r>
        <w:t>Las decisiones académicas relevantes permanecen bajo control humano y pueden ser explicadas, revisadas e impugnadas.</w:t>
      </w:r>
    </w:p>
    <w:p>
      <w:pPr>
        <w:pStyle w:val="Heading1"/>
        <w:widowControl/>
      </w:pPr>
      <w:r>
        <w:t>5. Cómo evaluar con IA: dos vías y AIAS v2</w:t>
      </w:r>
    </w:p>
    <w:p>
      <w:pPr>
        <w:pStyle w:val="Heading2"/>
        <w:widowControl/>
      </w:pPr>
      <w:r>
        <w:t>5.1 Dos vías complementarias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1944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6"/>
              </w:rPr>
              <w:t>Vía</w:t>
            </w:r>
          </w:p>
        </w:tc>
        <w:tc>
          <w:tcPr>
            <w:tcW w:type="dxa" w:w="3168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6"/>
              </w:rPr>
              <w:t>Para qué sirve</w:t>
            </w:r>
          </w:p>
        </w:tc>
        <w:tc>
          <w:tcPr>
            <w:tcW w:type="dxa" w:w="3168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6"/>
              </w:rPr>
              <w:t>Diseños típicos</w:t>
            </w:r>
          </w:p>
        </w:tc>
        <w:tc>
          <w:tcPr>
            <w:tcW w:type="dxa" w:w="2304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6"/>
              </w:rPr>
              <w:t>Evidencia</w:t>
            </w:r>
          </w:p>
        </w:tc>
      </w:tr>
      <w:tr>
        <w:trPr>
          <w:cantSplit/>
        </w:trPr>
        <w:tc>
          <w:tcPr>
            <w:tcW w:type="dxa" w:w="194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A. Aseguramiento humano</w:t>
            </w:r>
          </w:p>
        </w:tc>
        <w:tc>
          <w:tcPr>
            <w:tcW w:type="dxa" w:w="3168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Confirmar conocimientos o destrezas que la persona debe ejecutar sin asistencia generativa.</w:t>
            </w:r>
          </w:p>
        </w:tc>
        <w:tc>
          <w:tcPr>
            <w:tcW w:type="dxa" w:w="3168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Examen supervisado, demostración práctica, oral, estudio de caso en aula, ejecución clínica o de laboratorio controlada.</w:t>
            </w:r>
          </w:p>
        </w:tc>
        <w:tc>
          <w:tcPr>
            <w:tcW w:type="dxa" w:w="230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Desempeño observado, preguntas de seguimiento, criterios uniformes y ajustes razonables.</w:t>
            </w:r>
          </w:p>
        </w:tc>
      </w:tr>
      <w:tr>
        <w:trPr>
          <w:cantSplit/>
        </w:trPr>
        <w:tc>
          <w:tcPr>
            <w:tcW w:type="dxa" w:w="1944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B. Aprendizaje abierto con IA</w:t>
            </w:r>
          </w:p>
        </w:tc>
        <w:tc>
          <w:tcPr>
            <w:tcW w:type="dxa" w:w="3168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Aprender a usar, criticar y dirigir herramientas como ocurre en contextos profesionales.</w:t>
            </w:r>
          </w:p>
        </w:tc>
        <w:tc>
          <w:tcPr>
            <w:tcW w:type="dxa" w:w="3168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Proyecto, portafolio, investigación, diseño, programación, simulación, crítica y mejora de una salida.</w:t>
            </w:r>
          </w:p>
        </w:tc>
        <w:tc>
          <w:tcPr>
            <w:tcW w:type="dxa" w:w="2304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Bitácora, versiones, fuentes, validación, defensa, declaración y producto.</w:t>
            </w:r>
          </w:p>
        </w:tc>
      </w:tr>
    </w:tbl>
    <w:p>
      <w:pPr>
        <w:widowControl/>
        <w:spacing w:after="0"/>
      </w:pPr>
    </w:p>
    <w:p>
      <w:pPr>
        <w:keepLines w:val="0"/>
        <w:widowControl/>
      </w:pPr>
      <w:r>
        <w:t>Un programa sólido utiliza ambas vías. La vía A evita que competencias esenciales queden ocultas; la vía B evita formar para un mundo sin IA. No todas las asignaturas necesitan la misma mezcla.</w:t>
      </w:r>
    </w:p>
    <w:p>
      <w:pPr>
        <w:pStyle w:val="Heading2"/>
        <w:widowControl/>
      </w:pPr>
      <w:r>
        <w:t>5.2 AI Assessment Scale, versión 2</w:t>
      </w:r>
    </w:p>
    <w:p>
      <w:pPr>
        <w:keepLines w:val="0"/>
        <w:widowControl/>
      </w:pPr>
      <w:r>
        <w:t>La página de AIAS v1 aportada por el usuario fue reemplazada por una versión revisada. En AIAS v2 los niveles son no jerárquicos: un nivel 4 no es “mejor” que un nivel 1 y ningún nivel expresa cuánto porcentaje del trabajo hizo la IA. Cada nivel describe una relación pedagógica distinta.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99"/>
        <w:gridCol w:w="1999"/>
        <w:gridCol w:w="1999"/>
        <w:gridCol w:w="1999"/>
        <w:gridCol w:w="1999"/>
      </w:tblGrid>
      <w:tr>
        <w:trPr>
          <w:tblHeader w:val="true"/>
        </w:trPr>
        <w:tc>
          <w:tcPr>
            <w:tcW w:type="dxa" w:w="1440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5"/>
              </w:rPr>
              <w:t>Nivel</w:t>
            </w:r>
          </w:p>
        </w:tc>
        <w:tc>
          <w:tcPr>
            <w:tcW w:type="dxa" w:w="2448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5"/>
              </w:rPr>
              <w:t>Uso permitido</w:t>
            </w:r>
          </w:p>
        </w:tc>
        <w:tc>
          <w:tcPr>
            <w:tcW w:type="dxa" w:w="2664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5"/>
              </w:rPr>
              <w:t>Condición de diseño</w:t>
            </w:r>
          </w:p>
        </w:tc>
        <w:tc>
          <w:tcPr>
            <w:tcW w:type="dxa" w:w="2232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5"/>
              </w:rPr>
              <w:t>Evidencia mínima</w:t>
            </w:r>
          </w:p>
        </w:tc>
        <w:tc>
          <w:tcPr>
            <w:tcW w:type="dxa" w:w="1944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5"/>
              </w:rPr>
              <w:t>Se evalúa principalmente</w:t>
            </w:r>
          </w:p>
        </w:tc>
      </w:tr>
      <w:tr>
        <w:trPr>
          <w:cantSplit/>
        </w:trPr>
        <w:tc>
          <w:tcPr>
            <w:tcW w:type="dxa" w:w="144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1 · Sin IA</w:t>
            </w:r>
          </w:p>
        </w:tc>
        <w:tc>
          <w:tcPr>
            <w:tcW w:type="dxa" w:w="2448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No se usa IA generativa para realizar la evaluación; se mantienen tecnologías asistivas autorizadas.</w:t>
            </w:r>
          </w:p>
        </w:tc>
        <w:tc>
          <w:tcPr>
            <w:tcW w:type="dxa" w:w="266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Entorno controlado o supervisado; competencia humana esencial; ajustes razonables.</w:t>
            </w:r>
          </w:p>
        </w:tc>
        <w:tc>
          <w:tcPr>
            <w:tcW w:type="dxa" w:w="22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Desempeño observado y, si aplica, oral breve.</w:t>
            </w:r>
          </w:p>
        </w:tc>
        <w:tc>
          <w:tcPr>
            <w:tcW w:type="dxa" w:w="194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Dominio y ejecución independiente.</w:t>
            </w:r>
          </w:p>
        </w:tc>
      </w:tr>
      <w:tr>
        <w:trPr>
          <w:cantSplit/>
        </w:trPr>
        <w:tc>
          <w:tcPr>
            <w:tcW w:type="dxa" w:w="1440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2 · Planificación con IA</w:t>
            </w:r>
          </w:p>
        </w:tc>
        <w:tc>
          <w:tcPr>
            <w:tcW w:type="dxa" w:w="2448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Ideas, preguntas, estructura, plan, palabras clave o búsqueda inicial. El desarrollo final es del estudiante.</w:t>
            </w:r>
          </w:p>
        </w:tc>
        <w:tc>
          <w:tcPr>
            <w:tcW w:type="dxa" w:w="2664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La fase de planificación debe ser visible y útil para el objetivo.</w:t>
            </w:r>
          </w:p>
        </w:tc>
        <w:tc>
          <w:tcPr>
            <w:tcW w:type="dxa" w:w="2232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Declaración + esquema/plan + fuentes verificadas.</w:t>
            </w:r>
          </w:p>
        </w:tc>
        <w:tc>
          <w:tcPr>
            <w:tcW w:type="dxa" w:w="1944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Calidad del plan y desarrollo propio.</w:t>
            </w:r>
          </w:p>
        </w:tc>
      </w:tr>
      <w:tr>
        <w:trPr>
          <w:cantSplit/>
        </w:trPr>
        <w:tc>
          <w:tcPr>
            <w:tcW w:type="dxa" w:w="144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3 · Colaboración con IA</w:t>
            </w:r>
          </w:p>
        </w:tc>
        <w:tc>
          <w:tcPr>
            <w:tcW w:type="dxa" w:w="2448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Retroalimentación, borradores parciales, explicación, comparación, depuración o refinamiento en etapas permitidas.</w:t>
            </w:r>
          </w:p>
        </w:tc>
        <w:tc>
          <w:tcPr>
            <w:tcW w:type="dxa" w:w="266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La consigna define fronteras y exige juicio crítico y voz propia.</w:t>
            </w:r>
          </w:p>
        </w:tc>
        <w:tc>
          <w:tcPr>
            <w:tcW w:type="dxa" w:w="22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Bitácora representativa + versiones + verificación + declaración.</w:t>
            </w:r>
          </w:p>
        </w:tc>
        <w:tc>
          <w:tcPr>
            <w:tcW w:type="dxa" w:w="194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Decisiones, transformación, razonamiento y calidad final.</w:t>
            </w:r>
          </w:p>
        </w:tc>
      </w:tr>
      <w:tr>
        <w:trPr>
          <w:cantSplit/>
        </w:trPr>
        <w:tc>
          <w:tcPr>
            <w:tcW w:type="dxa" w:w="1440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4 · IA plena dirigida</w:t>
            </w:r>
          </w:p>
        </w:tc>
        <w:tc>
          <w:tcPr>
            <w:tcW w:type="dxa" w:w="2448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Uso extensivo a lo largo del flujo de trabajo, incluida producción, bajo dirección humana.</w:t>
            </w:r>
          </w:p>
        </w:tc>
        <w:tc>
          <w:tcPr>
            <w:tcW w:type="dxa" w:w="2664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El objetivo es dirigir, seleccionar, integrar y validar estratégicamente.</w:t>
            </w:r>
          </w:p>
        </w:tc>
        <w:tc>
          <w:tcPr>
            <w:tcW w:type="dxa" w:w="2232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Trazabilidad de decisiones, pruebas de calidad, fuentes y defensa.</w:t>
            </w:r>
          </w:p>
        </w:tc>
        <w:tc>
          <w:tcPr>
            <w:tcW w:type="dxa" w:w="1944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Criterio profesional, control de calidad y responsabilidad.</w:t>
            </w:r>
          </w:p>
        </w:tc>
      </w:tr>
      <w:tr>
        <w:trPr>
          <w:cantSplit/>
        </w:trPr>
        <w:tc>
          <w:tcPr>
            <w:tcW w:type="dxa" w:w="144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5 · Exploración con IA</w:t>
            </w:r>
          </w:p>
        </w:tc>
        <w:tc>
          <w:tcPr>
            <w:tcW w:type="dxa" w:w="2448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Experimentación, co-diseño o usos novedosos; la propia interacción con IA es objeto de investigación o creación.</w:t>
            </w:r>
          </w:p>
        </w:tc>
        <w:tc>
          <w:tcPr>
            <w:tcW w:type="dxa" w:w="266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Tarea abierta, riesgo delimitado y criterios co-diseñados o exploratorios.</w:t>
            </w:r>
          </w:p>
        </w:tc>
        <w:tc>
          <w:tcPr>
            <w:tcW w:type="dxa" w:w="22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Protocolo, iteraciones, registro de fallos, reflexión ética y demostración.</w:t>
            </w:r>
          </w:p>
        </w:tc>
        <w:tc>
          <w:tcPr>
            <w:tcW w:type="dxa" w:w="194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Innovación, aprendizaje del experimento, límites y ética.</w:t>
            </w:r>
          </w:p>
        </w:tc>
      </w:tr>
    </w:tbl>
    <w:p>
      <w:pPr>
        <w:widowControl/>
        <w:spacing w:after="0"/>
      </w:pPr>
    </w:p>
    <w:p>
      <w:pPr>
        <w:pStyle w:val="Heading2"/>
        <w:widowControl/>
      </w:pPr>
      <w:r>
        <w:t>5.3 Cómo elegir el nivel</w:t>
      </w:r>
    </w:p>
    <w:p>
      <w:pPr>
        <w:pStyle w:val="ListNumber"/>
        <w:widowControl/>
        <w:spacing w:after="60"/>
      </w:pPr>
      <w:r>
        <w:t>¿Qué debe poder hacer el estudiante sin IA al finalizar el curso?</w:t>
      </w:r>
    </w:p>
    <w:p>
      <w:pPr>
        <w:pStyle w:val="ListNumber"/>
        <w:widowControl/>
        <w:spacing w:after="60"/>
      </w:pPr>
      <w:r>
        <w:t>¿El uso de IA acerca la tarea a la práctica profesional o impide observar la competencia?</w:t>
      </w:r>
    </w:p>
    <w:p>
      <w:pPr>
        <w:pStyle w:val="ListNumber"/>
        <w:widowControl/>
        <w:spacing w:after="60"/>
      </w:pPr>
      <w:r>
        <w:t>¿Qué riesgo existe si la salida contiene errores, sesgos o información confidencial?</w:t>
      </w:r>
    </w:p>
    <w:p>
      <w:pPr>
        <w:pStyle w:val="ListNumber"/>
        <w:widowControl/>
        <w:spacing w:after="60"/>
      </w:pPr>
      <w:r>
        <w:t>¿Qué evidencia del proceso es necesaria y proporcional?</w:t>
      </w:r>
    </w:p>
    <w:p>
      <w:pPr>
        <w:pStyle w:val="ListNumber"/>
        <w:widowControl/>
        <w:spacing w:after="60"/>
      </w:pPr>
      <w:r>
        <w:t>¿Todos tienen acceso comparable y una alternativa viable?</w:t>
      </w:r>
    </w:p>
    <w:p>
      <w:pPr>
        <w:pStyle w:val="ListNumber"/>
        <w:widowControl/>
        <w:spacing w:after="60"/>
      </w:pPr>
      <w:r>
        <w:t>¿La herramienta es parte de lo que se enseña o solo un medio?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3F7FA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0"/>
            </w:pPr>
            <w:r>
              <w:rPr>
                <w:b/>
                <w:color w:val="2E74B5"/>
                <w:sz w:val="22"/>
              </w:rPr>
              <w:t>PRUEBA RÁPIDA</w:t>
              <w:br/>
            </w:r>
            <w:r>
              <w:t>Si el uso de IA elimina justamente la habilidad que se desea evaluar, reduzca el nivel o cambie la tarea. Si la habilidad consiste en dirigir, contrastar o integrar IA, aumente el nivel y evalúe ese juicio explícitamente.</w:t>
            </w:r>
          </w:p>
        </w:tc>
      </w:tr>
    </w:tbl>
    <w:p>
      <w:pPr>
        <w:pStyle w:val="Heading1"/>
        <w:widowControl/>
      </w:pPr>
      <w:r>
        <w:t>6. Evidencias, rúbricas y autenticidad</w:t>
      </w:r>
    </w:p>
    <w:p>
      <w:pPr>
        <w:pStyle w:val="Heading2"/>
        <w:widowControl/>
      </w:pPr>
      <w:r>
        <w:t>6.1 Del producto al proceso</w:t>
      </w:r>
    </w:p>
    <w:p>
      <w:pPr>
        <w:keepLines w:val="0"/>
        <w:widowControl/>
      </w:pPr>
      <w:r>
        <w:t>Un texto “perfecto” dice poco sobre el aprendizaje si no vemos las decisiones que lo produjeron. La autenticidad se fortalece combinando evidencias pequeñas y baratas: un plan aprobado, una fuente comentada, una versión intermedia, una explicación oral de tres minutos o una demostración de corrección. No es necesario pedir todos los chats en todas las tareas.</w:t>
      </w:r>
    </w:p>
    <w:p>
      <w:pPr>
        <w:pStyle w:val="Heading2"/>
        <w:widowControl/>
      </w:pPr>
      <w:r>
        <w:t>6.2 Bitácora mínima proporcional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1512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6"/>
              </w:rPr>
              <w:t>Campo</w:t>
            </w:r>
          </w:p>
        </w:tc>
        <w:tc>
          <w:tcPr>
            <w:tcW w:type="dxa" w:w="4536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6"/>
              </w:rPr>
              <w:t>Qué debe registrar</w:t>
            </w:r>
          </w:p>
        </w:tc>
        <w:tc>
          <w:tcPr>
            <w:tcW w:type="dxa" w:w="3960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6"/>
              </w:rPr>
              <w:t>Ejemplo breve</w:t>
            </w:r>
          </w:p>
        </w:tc>
      </w:tr>
      <w:tr>
        <w:trPr>
          <w:cantSplit/>
        </w:trPr>
        <w:tc>
          <w:tcPr>
            <w:tcW w:type="dxa" w:w="151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Contexto</w:t>
            </w:r>
          </w:p>
        </w:tc>
        <w:tc>
          <w:tcPr>
            <w:tcW w:type="dxa" w:w="4536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Tarea, objetivo y nivel AIAS.</w:t>
            </w:r>
          </w:p>
        </w:tc>
        <w:tc>
          <w:tcPr>
            <w:tcW w:type="dxa" w:w="396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“Informe de mercado; nivel 3”.</w:t>
            </w:r>
          </w:p>
        </w:tc>
      </w:tr>
      <w:tr>
        <w:trPr>
          <w:cantSplit/>
        </w:trPr>
        <w:tc>
          <w:tcPr>
            <w:tcW w:type="dxa" w:w="1512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Herramienta</w:t>
            </w:r>
          </w:p>
        </w:tc>
        <w:tc>
          <w:tcPr>
            <w:tcW w:type="dxa" w:w="4536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Nombre, proveedor, modelo/versión si se muestra y fecha.</w:t>
            </w:r>
          </w:p>
        </w:tc>
        <w:tc>
          <w:tcPr>
            <w:tcW w:type="dxa" w:w="3960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“ChatGPT, modelo indicado en interfaz, 12-08-2026”.</w:t>
            </w:r>
          </w:p>
        </w:tc>
      </w:tr>
      <w:tr>
        <w:trPr>
          <w:cantSplit/>
        </w:trPr>
        <w:tc>
          <w:tcPr>
            <w:tcW w:type="dxa" w:w="151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Finalidad</w:t>
            </w:r>
          </w:p>
        </w:tc>
        <w:tc>
          <w:tcPr>
            <w:tcW w:type="dxa" w:w="4536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Etapas en que se utilizó.</w:t>
            </w:r>
          </w:p>
        </w:tc>
        <w:tc>
          <w:tcPr>
            <w:tcW w:type="dxa" w:w="396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“Esquema, contraargumentos y revisión de claridad”.</w:t>
            </w:r>
          </w:p>
        </w:tc>
      </w:tr>
      <w:tr>
        <w:trPr>
          <w:cantSplit/>
        </w:trPr>
        <w:tc>
          <w:tcPr>
            <w:tcW w:type="dxa" w:w="1512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Interacciones clave</w:t>
            </w:r>
          </w:p>
        </w:tc>
        <w:tc>
          <w:tcPr>
            <w:tcW w:type="dxa" w:w="4536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Instrucciones representativas, no necesariamente el historial completo.</w:t>
            </w:r>
          </w:p>
        </w:tc>
        <w:tc>
          <w:tcPr>
            <w:tcW w:type="dxa" w:w="3960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Dos prompts que cambiaron el enfoque.</w:t>
            </w:r>
          </w:p>
        </w:tc>
      </w:tr>
      <w:tr>
        <w:trPr>
          <w:cantSplit/>
        </w:trPr>
        <w:tc>
          <w:tcPr>
            <w:tcW w:type="dxa" w:w="151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Decisiones humanas</w:t>
            </w:r>
          </w:p>
        </w:tc>
        <w:tc>
          <w:tcPr>
            <w:tcW w:type="dxa" w:w="4536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Qué se aceptó, rechazó o cambió y por qué.</w:t>
            </w:r>
          </w:p>
        </w:tc>
        <w:tc>
          <w:tcPr>
            <w:tcW w:type="dxa" w:w="396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“Descarté la segmentación por falta de evidencia local”.</w:t>
            </w:r>
          </w:p>
        </w:tc>
      </w:tr>
      <w:tr>
        <w:trPr>
          <w:cantSplit/>
        </w:trPr>
        <w:tc>
          <w:tcPr>
            <w:tcW w:type="dxa" w:w="1512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Verificación</w:t>
            </w:r>
          </w:p>
        </w:tc>
        <w:tc>
          <w:tcPr>
            <w:tcW w:type="dxa" w:w="4536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Fuentes abiertas, cálculos, pruebas o contraste experto.</w:t>
            </w:r>
          </w:p>
        </w:tc>
        <w:tc>
          <w:tcPr>
            <w:tcW w:type="dxa" w:w="3960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Tabla de afirmación → fuente → resultado.</w:t>
            </w:r>
          </w:p>
        </w:tc>
      </w:tr>
      <w:tr>
        <w:trPr>
          <w:cantSplit/>
        </w:trPr>
        <w:tc>
          <w:tcPr>
            <w:tcW w:type="dxa" w:w="151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Riesgos</w:t>
            </w:r>
          </w:p>
        </w:tc>
        <w:tc>
          <w:tcPr>
            <w:tcW w:type="dxa" w:w="4536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Sesgos, privacidad, licencias o limitaciones.</w:t>
            </w:r>
          </w:p>
        </w:tc>
        <w:tc>
          <w:tcPr>
            <w:tcW w:type="dxa" w:w="396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“La muestra subrepresentaba zonas rurales”.</w:t>
            </w:r>
          </w:p>
        </w:tc>
      </w:tr>
      <w:tr>
        <w:trPr>
          <w:cantSplit/>
        </w:trPr>
        <w:tc>
          <w:tcPr>
            <w:tcW w:type="dxa" w:w="1512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Declaración</w:t>
            </w:r>
          </w:p>
        </w:tc>
        <w:tc>
          <w:tcPr>
            <w:tcW w:type="dxa" w:w="4536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Síntesis del uso y responsabilidad final.</w:t>
            </w:r>
          </w:p>
        </w:tc>
        <w:tc>
          <w:tcPr>
            <w:tcW w:type="dxa" w:w="3960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Párrafo incluido al final del trabajo.</w:t>
            </w:r>
          </w:p>
        </w:tc>
      </w:tr>
    </w:tbl>
    <w:p>
      <w:pPr>
        <w:widowControl/>
        <w:spacing w:after="0"/>
      </w:pPr>
    </w:p>
    <w:p>
      <w:pPr>
        <w:keepLines w:val="0"/>
        <w:widowControl/>
      </w:pPr>
      <w:r>
        <w:t>Recomendación de proporcionalidad: pedir el historial completo solo cuando la interacción sea objeto de evaluación o cuando una revisión académica justificada lo requiera. Una selección representativa suele ser suficiente y reduce carga, exposición de datos y ruido documental.</w:t>
      </w:r>
    </w:p>
    <w:p>
      <w:pPr>
        <w:pStyle w:val="Heading2"/>
        <w:widowControl/>
      </w:pPr>
      <w:r>
        <w:t>6.3 Rúbrica base de 100 puntos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3312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7"/>
              </w:rPr>
              <w:t>Criterio</w:t>
            </w:r>
          </w:p>
        </w:tc>
        <w:tc>
          <w:tcPr>
            <w:tcW w:type="dxa" w:w="936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7"/>
              </w:rPr>
              <w:t>Peso</w:t>
            </w:r>
          </w:p>
        </w:tc>
        <w:tc>
          <w:tcPr>
            <w:tcW w:type="dxa" w:w="5760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7"/>
              </w:rPr>
              <w:t>Evidencia de desempeño alto</w:t>
            </w:r>
          </w:p>
        </w:tc>
      </w:tr>
      <w:tr>
        <w:trPr>
          <w:cantSplit/>
        </w:trPr>
        <w:tc>
          <w:tcPr>
            <w:tcW w:type="dxa" w:w="331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Razonamiento disciplinar y logro del objetivo</w:t>
            </w:r>
          </w:p>
        </w:tc>
        <w:tc>
          <w:tcPr>
            <w:tcW w:type="dxa" w:w="936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30</w:t>
            </w:r>
          </w:p>
        </w:tc>
        <w:tc>
          <w:tcPr>
            <w:tcW w:type="dxa" w:w="576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Tesis o solución sólida, conceptos correctos, decisiones justificadas y aplicación contextual.</w:t>
            </w:r>
          </w:p>
        </w:tc>
      </w:tr>
      <w:tr>
        <w:trPr>
          <w:cantSplit/>
        </w:trPr>
        <w:tc>
          <w:tcPr>
            <w:tcW w:type="dxa" w:w="3312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Proceso y decisiones humanas</w:t>
            </w:r>
          </w:p>
        </w:tc>
        <w:tc>
          <w:tcPr>
            <w:tcW w:type="dxa" w:w="936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20</w:t>
            </w:r>
          </w:p>
        </w:tc>
        <w:tc>
          <w:tcPr>
            <w:tcW w:type="dxa" w:w="5760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Iteraciones pertinentes; selección, rechazo y transformación explicados; voz o criterio propio reconocible.</w:t>
            </w:r>
          </w:p>
        </w:tc>
      </w:tr>
      <w:tr>
        <w:trPr>
          <w:cantSplit/>
        </w:trPr>
        <w:tc>
          <w:tcPr>
            <w:tcW w:type="dxa" w:w="331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Verificación y calidad de fuentes</w:t>
            </w:r>
          </w:p>
        </w:tc>
        <w:tc>
          <w:tcPr>
            <w:tcW w:type="dxa" w:w="936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20</w:t>
            </w:r>
          </w:p>
        </w:tc>
        <w:tc>
          <w:tcPr>
            <w:tcW w:type="dxa" w:w="576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Afirmaciones, datos, referencias, código o resultados comprobados con métodos apropiados.</w:t>
            </w:r>
          </w:p>
        </w:tc>
      </w:tr>
      <w:tr>
        <w:trPr>
          <w:cantSplit/>
        </w:trPr>
        <w:tc>
          <w:tcPr>
            <w:tcW w:type="dxa" w:w="3312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Calidad del producto y comunicación</w:t>
            </w:r>
          </w:p>
        </w:tc>
        <w:tc>
          <w:tcPr>
            <w:tcW w:type="dxa" w:w="936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15</w:t>
            </w:r>
          </w:p>
        </w:tc>
        <w:tc>
          <w:tcPr>
            <w:tcW w:type="dxa" w:w="5760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Resultado preciso, coherente, usable y adaptado a audiencia y formato.</w:t>
            </w:r>
          </w:p>
        </w:tc>
      </w:tr>
      <w:tr>
        <w:trPr>
          <w:cantSplit/>
        </w:trPr>
        <w:tc>
          <w:tcPr>
            <w:tcW w:type="dxa" w:w="331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Transparencia, ética, datos y propiedad intelectual</w:t>
            </w:r>
          </w:p>
        </w:tc>
        <w:tc>
          <w:tcPr>
            <w:tcW w:type="dxa" w:w="936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15</w:t>
            </w:r>
          </w:p>
        </w:tc>
        <w:tc>
          <w:tcPr>
            <w:tcW w:type="dxa" w:w="576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Declaración completa; uso autorizado; tratamiento seguro; sesgos y licencias atendidos.</w:t>
            </w:r>
          </w:p>
        </w:tc>
      </w:tr>
    </w:tbl>
    <w:p>
      <w:pPr>
        <w:widowControl/>
        <w:spacing w:after="0"/>
      </w:pPr>
    </w:p>
    <w:p>
      <w:pPr>
        <w:keepLines w:val="0"/>
        <w:widowControl/>
      </w:pPr>
      <w:r>
        <w:t>La capacidad de “hacer prompts” solo debe recibir una nota independiente si es resultado de aprendizaje. En los demás casos, se valora como parte del proceso, no como fin.</w:t>
      </w:r>
    </w:p>
    <w:p>
      <w:pPr>
        <w:pStyle w:val="Heading2"/>
        <w:widowControl/>
      </w:pPr>
      <w:r>
        <w:t>6.4 Diseños de evidencia de bajo costo</w:t>
      </w:r>
    </w:p>
    <w:p>
      <w:pPr>
        <w:pStyle w:val="ListBullet"/>
        <w:widowControl/>
        <w:spacing w:after="60"/>
      </w:pPr>
      <w:r>
        <w:t>Checkpoint de cinco minutos: cada estudiante entrega problema, decisión y una fuente antes del producto final.</w:t>
      </w:r>
    </w:p>
    <w:p>
      <w:pPr>
        <w:pStyle w:val="ListBullet"/>
        <w:widowControl/>
        <w:spacing w:after="60"/>
      </w:pPr>
      <w:r>
        <w:t>Defensa aleatoria: el docente selecciona una afirmación o decisión y pide explicarla o reproducirla.</w:t>
      </w:r>
    </w:p>
    <w:p>
      <w:pPr>
        <w:pStyle w:val="ListBullet"/>
        <w:widowControl/>
        <w:spacing w:after="60"/>
      </w:pPr>
      <w:r>
        <w:t>Comparación crítica: el estudiante identifica tres errores o límites de una salida generada y la mejora.</w:t>
      </w:r>
    </w:p>
    <w:p>
      <w:pPr>
        <w:pStyle w:val="ListBullet"/>
        <w:widowControl/>
        <w:spacing w:after="60"/>
      </w:pPr>
      <w:r>
        <w:t>Anexo de trazabilidad de una página: herramienta, usos, prompts clave, verificación y cambios.</w:t>
      </w:r>
    </w:p>
    <w:p>
      <w:pPr>
        <w:pStyle w:val="ListBullet"/>
        <w:widowControl/>
        <w:spacing w:after="60"/>
      </w:pPr>
      <w:r>
        <w:t>Portafolio de versiones: plan, borrador, retroalimentación y resultado con comentarios de evolución.</w:t>
      </w:r>
    </w:p>
    <w:p>
      <w:pPr>
        <w:pStyle w:val="ListBullet"/>
        <w:widowControl/>
        <w:spacing w:after="60"/>
      </w:pPr>
      <w:r>
        <w:t>Datos locales o experiencia situada: exigir evidencia contextual que una respuesta genérica no resuelva.</w:t>
      </w:r>
    </w:p>
    <w:p>
      <w:pPr>
        <w:pStyle w:val="Heading1"/>
        <w:widowControl/>
      </w:pPr>
      <w:r>
        <w:t>7. Reglas operativas</w:t>
      </w:r>
    </w:p>
    <w:p>
      <w:pPr>
        <w:pStyle w:val="Heading2"/>
        <w:widowControl/>
      </w:pPr>
      <w:r>
        <w:t>7.1 Declarar, citar y verificar no son lo mismo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2232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6"/>
              </w:rPr>
              <w:t>Acción</w:t>
            </w:r>
          </w:p>
        </w:tc>
        <w:tc>
          <w:tcPr>
            <w:tcW w:type="dxa" w:w="3888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6"/>
              </w:rPr>
              <w:t>Cuándo</w:t>
            </w:r>
          </w:p>
        </w:tc>
        <w:tc>
          <w:tcPr>
            <w:tcW w:type="dxa" w:w="3960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6"/>
              </w:rPr>
              <w:t>Qué contiene</w:t>
            </w:r>
          </w:p>
        </w:tc>
      </w:tr>
      <w:tr>
        <w:trPr>
          <w:cantSplit/>
        </w:trPr>
        <w:tc>
          <w:tcPr>
            <w:tcW w:type="dxa" w:w="22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Declaración o reconocimiento</w:t>
            </w:r>
          </w:p>
        </w:tc>
        <w:tc>
          <w:tcPr>
            <w:tcW w:type="dxa" w:w="3888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Cuando la IA influyó sustantivamente en el proceso, aunque su texto no aparezca literalmente.</w:t>
            </w:r>
          </w:p>
        </w:tc>
        <w:tc>
          <w:tcPr>
            <w:tcW w:type="dxa" w:w="396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Herramienta, finalidad, etapas, alcance, verificación y responsabilidad humana.</w:t>
            </w:r>
          </w:p>
        </w:tc>
      </w:tr>
      <w:tr>
        <w:trPr>
          <w:cantSplit/>
        </w:trPr>
        <w:tc>
          <w:tcPr>
            <w:tcW w:type="dxa" w:w="2232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Cita en el texto y referencia</w:t>
            </w:r>
          </w:p>
        </w:tc>
        <w:tc>
          <w:tcPr>
            <w:tcW w:type="dxa" w:w="3888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Cuando se reproduce, parafrasea o analiza una salida de IA y la guía de estilo lo requiere.</w:t>
            </w:r>
          </w:p>
        </w:tc>
        <w:tc>
          <w:tcPr>
            <w:tcW w:type="dxa" w:w="3960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Referencia a una conversación recuperable/compartible cuando sea posible, con fecha, herramienta/modelo y URL.</w:t>
            </w:r>
          </w:p>
        </w:tc>
      </w:tr>
      <w:tr>
        <w:trPr>
          <w:cantSplit/>
        </w:trPr>
        <w:tc>
          <w:tcPr>
            <w:tcW w:type="dxa" w:w="22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Cita de fuente original</w:t>
            </w:r>
          </w:p>
        </w:tc>
        <w:tc>
          <w:tcPr>
            <w:tcW w:type="dxa" w:w="3888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Para hechos, teorías, datos, leyes, artículos y evidencia académica.</w:t>
            </w:r>
          </w:p>
        </w:tc>
        <w:tc>
          <w:tcPr>
            <w:tcW w:type="dxa" w:w="396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La obra realmente consultada. Nunca una referencia inventada o no abierta.</w:t>
            </w:r>
          </w:p>
        </w:tc>
      </w:tr>
    </w:tbl>
    <w:p>
      <w:pPr>
        <w:widowControl/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3F7FA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0"/>
            </w:pPr>
            <w:r>
              <w:rPr>
                <w:b/>
                <w:color w:val="2E74B5"/>
                <w:sz w:val="22"/>
              </w:rPr>
              <w:t>REGLA ÚTIL</w:t>
              <w:br/>
            </w:r>
            <w:r>
              <w:t>La IA puede ayudar a encontrar una fuente; no puede sustituir la lectura de la fuente. Si el estudiante no abrió y verificó el documento, no debe citarlo como consultado.</w:t>
            </w:r>
          </w:p>
        </w:tc>
      </w:tr>
    </w:tbl>
    <w:p>
      <w:pPr>
        <w:pStyle w:val="Heading2"/>
        <w:widowControl/>
      </w:pPr>
      <w:r>
        <w:t>7.2 Modelo de declaración</w:t>
      </w:r>
    </w:p>
    <w:p>
      <w:pPr>
        <w:pStyle w:val="Callout"/>
        <w:keepLines w:val="0"/>
        <w:widowControl/>
      </w:pPr>
      <w:r>
        <w:t>“Utilicé [herramienta, proveedor y modelo/versión visible] el [fecha] para [finalidad y etapas]. Las interacciones clave se adjuntan/resumen en [anexo]. Incorporé [tipo de contenido] después de contrastarlo con [fuentes o pruebas]. Rechacé o modifiqué [aspectos] por [razón]. No ingresé datos personales, sensibles, confidenciales ni material restringido. Asumo la responsabilidad por la exactitud, las fuentes, la integridad y la versión final.”</w:t>
      </w:r>
    </w:p>
    <w:p>
      <w:pPr>
        <w:keepLines w:val="0"/>
        <w:widowControl/>
      </w:pPr>
      <w:r>
        <w:t>Declaración de no uso: “Declaro que no utilicé IA generativa en la preparación o producción de esta entrega, salvo las tecnologías asistivas expresamente autorizadas.”</w:t>
      </w:r>
    </w:p>
    <w:p>
      <w:pPr>
        <w:pStyle w:val="Heading2"/>
        <w:widowControl/>
      </w:pPr>
      <w:r>
        <w:t>7.3 Ejemplo orientativo de referencia APA</w:t>
      </w:r>
    </w:p>
    <w:p>
      <w:pPr>
        <w:keepLines w:val="0"/>
        <w:widowControl/>
      </w:pPr>
      <w:r>
        <w:t>APA actualizó en septiembre de 2025 su tratamiento de conversaciones de IA. Para una conversación específica y recuperable puede emplearse, adaptando exactamente los metadatos mostrados por la plataforma:</w:t>
      </w:r>
    </w:p>
    <w:p>
      <w:pPr>
        <w:pStyle w:val="Callout"/>
        <w:keepLines w:val="0"/>
        <w:widowControl/>
      </w:pPr>
      <w:r>
        <w:t>OpenAI. (2026, 26 de agosto). Título descriptivo de la conversación [Chat de IA generativa]. ChatGPT [modelo]. URL compartible</w:t>
      </w:r>
    </w:p>
    <w:p>
      <w:pPr>
        <w:keepLines w:val="0"/>
        <w:widowControl/>
      </w:pPr>
      <w:r>
        <w:t>El formato definitivo depende de la guía de estilo institucional y de si el contenido es recuperable. No debe inventarse una versión o modelo. MLA también recomienda describir el uso, preferir un enlace estable cuando exista y citar las fuentes originales que la IA haya ayudado a localizar.</w:t>
      </w:r>
    </w:p>
    <w:p>
      <w:pPr>
        <w:pStyle w:val="Heading2"/>
        <w:widowControl/>
      </w:pPr>
      <w:r>
        <w:t>7.4 Datos, confidencialidad y seguridad</w:t>
      </w:r>
    </w:p>
    <w:p>
      <w:pPr>
        <w:pStyle w:val="ListBullet"/>
        <w:widowControl/>
        <w:spacing w:after="60"/>
      </w:pPr>
      <w:r>
        <w:t>No ingresar nombres, identificadores, calificaciones, historiales, datos de salud, biométricos, financieros o de menores.</w:t>
      </w:r>
    </w:p>
    <w:p>
      <w:pPr>
        <w:pStyle w:val="ListBullet"/>
        <w:widowControl/>
        <w:spacing w:after="60"/>
      </w:pPr>
      <w:r>
        <w:t>No cargar tesis inéditas, manuscritos bajo revisión, evaluaciones, bases de investigación, código propietario, contratos o información de terceros sin autorización.</w:t>
      </w:r>
    </w:p>
    <w:p>
      <w:pPr>
        <w:pStyle w:val="ListBullet"/>
        <w:widowControl/>
        <w:spacing w:after="60"/>
      </w:pPr>
      <w:r>
        <w:t>Usar cuentas y herramientas institucionales aprobadas cuando existan; revisar retención, entrenamiento, región de almacenamiento y opción de eliminación.</w:t>
      </w:r>
    </w:p>
    <w:p>
      <w:pPr>
        <w:pStyle w:val="ListBullet"/>
        <w:widowControl/>
        <w:spacing w:after="60"/>
      </w:pPr>
      <w:r>
        <w:t>Anonimizar o sintetizar datos. Si la tarea no puede realizarse sin exponerlos, no usar el servicio o emplear un entorno institucional autorizado.</w:t>
      </w:r>
    </w:p>
    <w:p>
      <w:pPr>
        <w:pStyle w:val="ListBullet"/>
        <w:widowControl/>
        <w:spacing w:after="60"/>
      </w:pPr>
      <w:r>
        <w:t>Notificar incidentes por el canal institucional. La declaración académica no reemplaza el reporte de seguridad.</w:t>
      </w:r>
    </w:p>
    <w:p>
      <w:pPr>
        <w:pStyle w:val="Heading2"/>
        <w:widowControl/>
      </w:pPr>
      <w:r>
        <w:t>7.5 Propiedad intelectual y contenidos multimodales</w:t>
      </w:r>
    </w:p>
    <w:p>
      <w:pPr>
        <w:keepLines w:val="0"/>
        <w:widowControl/>
      </w:pPr>
      <w:r>
        <w:t>Para texto, imagen, audio, video y código, la consigna debe indicar si se permiten materiales de terceros, qué licencias son aceptables y cómo registrar su procedencia. El estudiante debe conservar la evidencia disponible de origen, permisos, edición y atribución. No debe imitar a una persona real, clonar voz o rostro, ni crear material engañoso sin consentimiento y justificación pedagógica explícita.</w:t>
      </w:r>
    </w:p>
    <w:p>
      <w:pPr>
        <w:pStyle w:val="Heading2"/>
        <w:widowControl/>
      </w:pPr>
      <w:r>
        <w:t>7.6 Acceso y equidad</w:t>
      </w:r>
    </w:p>
    <w:p>
      <w:pPr>
        <w:keepLines w:val="0"/>
        <w:widowControl/>
      </w:pPr>
      <w:r>
        <w:t>No se debe exigir una herramienta de pago sin licencia institucional o alternativa equivalente. Si la actividad depende de una función específica, la institución debe proveer acceso o diseñar una ruta alternativa con igual resultado de aprendizaje y carga comparable. Las tecnologías asistivas no deben confundirse automáticamente con IA generativa prohibida; el nivel 1 requiere ajustes razonables.</w:t>
      </w:r>
    </w:p>
    <w:p>
      <w:pPr>
        <w:pStyle w:val="Heading1"/>
        <w:widowControl/>
      </w:pPr>
      <w:r>
        <w:t>8. Modelo de política institucional base</w:t>
      </w:r>
    </w:p>
    <w:p>
      <w:pPr>
        <w:keepLines w:val="0"/>
        <w:widowControl/>
      </w:pPr>
      <w:r>
        <w:t>El siguiente articulado es una base editable, no una norma aprobada. Está redactado para una adopción inicial y deliberadamente permite el uso guiado.</w:t>
      </w:r>
    </w:p>
    <w:p>
      <w:pPr>
        <w:pStyle w:val="Heading2"/>
        <w:widowControl/>
      </w:pPr>
      <w:r>
        <w:t>Artículo 1. Objeto</w:t>
      </w:r>
    </w:p>
    <w:p>
      <w:pPr>
        <w:keepLines w:val="0"/>
        <w:widowControl/>
      </w:pPr>
      <w:r>
        <w:t>Regular el uso ético, responsable, transparente, seguro y pedagógicamente pertinente de IA generativa en docencia, aprendizaje y evaluación, preservando la agencia humana, la integridad académica, la protección de datos, la equidad y la calidad.</w:t>
      </w:r>
    </w:p>
    <w:p>
      <w:pPr>
        <w:pStyle w:val="Heading2"/>
        <w:widowControl/>
      </w:pPr>
      <w:r>
        <w:t>Artículo 2. Alcance</w:t>
      </w:r>
    </w:p>
    <w:p>
      <w:pPr>
        <w:keepLines w:val="0"/>
        <w:widowControl/>
      </w:pPr>
      <w:r>
        <w:t>Aplica a estudiantes, docentes, ayudantes, tutores y personal que participe en actividades académicas. Investigación, admisión, analítica institucional y decisiones automatizadas de alto impacto requerirán protocolos específicos adicionales.</w:t>
      </w:r>
    </w:p>
    <w:p>
      <w:pPr>
        <w:pStyle w:val="Heading2"/>
        <w:widowControl/>
      </w:pPr>
      <w:r>
        <w:t>Artículo 3. Definiciones mínimas</w:t>
      </w:r>
    </w:p>
    <w:p>
      <w:pPr>
        <w:pStyle w:val="ListBullet"/>
        <w:widowControl/>
        <w:spacing w:after="60"/>
      </w:pPr>
      <w:r>
        <w:t>IA generativa: sistema que produce o transforma contenido —texto, imagen, audio, video, código, datos u otros— a partir de instrucciones o entradas.</w:t>
      </w:r>
    </w:p>
    <w:p>
      <w:pPr>
        <w:pStyle w:val="ListBullet"/>
        <w:widowControl/>
        <w:spacing w:after="60"/>
      </w:pPr>
      <w:r>
        <w:t>Uso sustantivo: intervención que influye de manera material en ideas, estructura, argumentos, análisis, código, diseño, evidencia o redacción final.</w:t>
      </w:r>
    </w:p>
    <w:p>
      <w:pPr>
        <w:pStyle w:val="ListBullet"/>
        <w:widowControl/>
        <w:spacing w:after="60"/>
      </w:pPr>
      <w:r>
        <w:t>Declaración de uso: registro comprensible de herramienta, finalidad, etapas, evidencia y responsabilidad.</w:t>
      </w:r>
    </w:p>
    <w:p>
      <w:pPr>
        <w:pStyle w:val="ListBullet"/>
        <w:widowControl/>
        <w:spacing w:after="60"/>
      </w:pPr>
      <w:r>
        <w:t>Nivel AIAS: relación permitida entre estudiante, IA y tarea según la versión 2 de la escala.</w:t>
      </w:r>
    </w:p>
    <w:p>
      <w:pPr>
        <w:pStyle w:val="Heading2"/>
        <w:widowControl/>
      </w:pPr>
      <w:r>
        <w:t>Artículo 4. Regla general de autorización</w:t>
      </w:r>
    </w:p>
    <w:p>
      <w:pPr>
        <w:keepLines w:val="0"/>
        <w:widowControl/>
      </w:pPr>
      <w:r>
        <w:t>El uso de IA generativa está permitido como apoyo cuando el syllabus y la consigna lo autoricen y se cumplan las reglas institucionales. Toda evaluación debe indicar su nivel AIAS, usos permitidos y prohibidos, evidencias y criterios. En ausencia de etiqueta para una actividad calificada, se recomienda permitir solo Nivel 2 con declaración; los exámenes controlados se regirán por Nivel 1.</w:t>
      </w:r>
    </w:p>
    <w:p>
      <w:pPr>
        <w:pStyle w:val="Heading2"/>
        <w:widowControl/>
      </w:pPr>
      <w:r>
        <w:t>Artículo 5. Obligaciones del docente</w:t>
      </w:r>
    </w:p>
    <w:p>
      <w:pPr>
        <w:pStyle w:val="ListBullet"/>
        <w:widowControl/>
        <w:spacing w:after="60"/>
      </w:pPr>
      <w:r>
        <w:t>Alinear el nivel de IA con resultados de aprendizaje y riesgos de la actividad.</w:t>
      </w:r>
    </w:p>
    <w:p>
      <w:pPr>
        <w:pStyle w:val="ListBullet"/>
        <w:widowControl/>
        <w:spacing w:after="60"/>
      </w:pPr>
      <w:r>
        <w:t>Publicar reglas antes de la tarea y resolver contradicciones sin efecto retroactivo perjudicial.</w:t>
      </w:r>
    </w:p>
    <w:p>
      <w:pPr>
        <w:pStyle w:val="ListBullet"/>
        <w:widowControl/>
        <w:spacing w:after="60"/>
      </w:pPr>
      <w:r>
        <w:t>Proveer ejemplos de uso permitido, no permitido y declaración suficiente.</w:t>
      </w:r>
    </w:p>
    <w:p>
      <w:pPr>
        <w:pStyle w:val="ListBullet"/>
        <w:widowControl/>
        <w:spacing w:after="60"/>
      </w:pPr>
      <w:r>
        <w:t>Diseñar evidencias de proceso proporcionales y alternativas equitativas.</w:t>
      </w:r>
    </w:p>
    <w:p>
      <w:pPr>
        <w:pStyle w:val="ListBullet"/>
        <w:widowControl/>
        <w:spacing w:after="60"/>
      </w:pPr>
      <w:r>
        <w:t>No basar acusaciones ni calificaciones exclusivamente en detectores.</w:t>
      </w:r>
    </w:p>
    <w:p>
      <w:pPr>
        <w:pStyle w:val="ListBullet"/>
        <w:widowControl/>
        <w:spacing w:after="60"/>
      </w:pPr>
      <w:r>
        <w:t>Declarar usos docentes sustantivos de IA y revisar cualquier material o retroalimentación antes de entregarlo.</w:t>
      </w:r>
    </w:p>
    <w:p>
      <w:pPr>
        <w:pStyle w:val="ListBullet"/>
        <w:widowControl/>
        <w:spacing w:after="60"/>
      </w:pPr>
      <w:r>
        <w:t>Proteger datos de estudiantes y no cargar trabajos a servicios no autorizados.</w:t>
      </w:r>
    </w:p>
    <w:p>
      <w:pPr>
        <w:pStyle w:val="Heading2"/>
        <w:widowControl/>
      </w:pPr>
      <w:r>
        <w:t>Artículo 6. Obligaciones del estudiante</w:t>
      </w:r>
    </w:p>
    <w:p>
      <w:pPr>
        <w:pStyle w:val="ListBullet"/>
        <w:widowControl/>
        <w:spacing w:after="60"/>
      </w:pPr>
      <w:r>
        <w:t>Respetar el nivel y las fronteras de cada actividad; preguntar antes de asumir un permiso no descrito.</w:t>
      </w:r>
    </w:p>
    <w:p>
      <w:pPr>
        <w:pStyle w:val="ListBullet"/>
        <w:widowControl/>
        <w:spacing w:after="60"/>
      </w:pPr>
      <w:r>
        <w:t>Conservar y entregar la evidencia requerida del proceso.</w:t>
      </w:r>
    </w:p>
    <w:p>
      <w:pPr>
        <w:pStyle w:val="ListBullet"/>
        <w:widowControl/>
        <w:spacing w:after="60"/>
      </w:pPr>
      <w:r>
        <w:t>Verificar afirmaciones, cálculos, fuentes, código, traducciones y contenido multimodal.</w:t>
      </w:r>
    </w:p>
    <w:p>
      <w:pPr>
        <w:pStyle w:val="ListBullet"/>
        <w:widowControl/>
        <w:spacing w:after="60"/>
      </w:pPr>
      <w:r>
        <w:t>Declarar y citar de acuerdo con la consigna y el estilo aplicable.</w:t>
      </w:r>
    </w:p>
    <w:p>
      <w:pPr>
        <w:pStyle w:val="ListBullet"/>
        <w:widowControl/>
        <w:spacing w:after="60"/>
      </w:pPr>
      <w:r>
        <w:t>No exponer datos o material restringido y respetar derechos de terceros.</w:t>
      </w:r>
    </w:p>
    <w:p>
      <w:pPr>
        <w:pStyle w:val="ListBullet"/>
        <w:widowControl/>
        <w:spacing w:after="60"/>
      </w:pPr>
      <w:r>
        <w:t>Poder explicar y defender el trabajo presentado.</w:t>
      </w:r>
    </w:p>
    <w:p>
      <w:pPr>
        <w:pStyle w:val="Heading2"/>
        <w:widowControl/>
      </w:pPr>
      <w:r>
        <w:t>Artículo 7. Usos no permitidos</w:t>
      </w:r>
    </w:p>
    <w:p>
      <w:pPr>
        <w:pStyle w:val="ListBullet"/>
        <w:widowControl/>
        <w:spacing w:after="60"/>
      </w:pPr>
      <w:r>
        <w:t>Usar IA en una evaluación de Nivel 1 fuera de las adaptaciones autorizadas.</w:t>
      </w:r>
    </w:p>
    <w:p>
      <w:pPr>
        <w:pStyle w:val="ListBullet"/>
        <w:widowControl/>
        <w:spacing w:after="60"/>
      </w:pPr>
      <w:r>
        <w:t>Delegar a IA una fase expresamente reservada al estudiante.</w:t>
      </w:r>
    </w:p>
    <w:p>
      <w:pPr>
        <w:pStyle w:val="ListBullet"/>
        <w:widowControl/>
        <w:spacing w:after="60"/>
      </w:pPr>
      <w:r>
        <w:t>Ocultar un uso cuya declaración era obligatoria o falsificar bitácoras, borradores o fuentes.</w:t>
      </w:r>
    </w:p>
    <w:p>
      <w:pPr>
        <w:pStyle w:val="ListBullet"/>
        <w:widowControl/>
        <w:spacing w:after="60"/>
      </w:pPr>
      <w:r>
        <w:t>Entregar hechos, citas, referencias, datos o resultados no verificados.</w:t>
      </w:r>
    </w:p>
    <w:p>
      <w:pPr>
        <w:pStyle w:val="ListBullet"/>
        <w:widowControl/>
        <w:spacing w:after="60"/>
      </w:pPr>
      <w:r>
        <w:t>Ingresar información protegida en herramientas no autorizadas.</w:t>
      </w:r>
    </w:p>
    <w:p>
      <w:pPr>
        <w:pStyle w:val="ListBullet"/>
        <w:widowControl/>
        <w:spacing w:after="60"/>
      </w:pPr>
      <w:r>
        <w:t>Suplantar, manipular evidencia, fabricar datos o generar contenido discriminatorio, engañoso o ilícito.</w:t>
      </w:r>
    </w:p>
    <w:p>
      <w:pPr>
        <w:pStyle w:val="Heading2"/>
        <w:widowControl/>
      </w:pPr>
      <w:r>
        <w:t>Artículo 8. Herramientas de detección</w:t>
      </w:r>
    </w:p>
    <w:p>
      <w:pPr>
        <w:keepLines w:val="0"/>
        <w:widowControl/>
      </w:pPr>
      <w:r>
        <w:t>Los indicadores automáticos podrán considerarse, si la institución los autoriza, únicamente como señales preliminares. No constituyen por sí solos prueba de uso ni fundamento suficiente para sanción o reducción de nota. Deben respetarse privacidad, acceso a la información, revisión humana, evidencia contradictoria y derecho a explicación y apelación.</w:t>
      </w:r>
    </w:p>
    <w:p>
      <w:pPr>
        <w:pStyle w:val="Heading2"/>
        <w:widowControl/>
      </w:pPr>
      <w:r>
        <w:t>Artículo 9. Formación y apoyo</w:t>
      </w:r>
    </w:p>
    <w:p>
      <w:pPr>
        <w:keepLines w:val="0"/>
        <w:widowControl/>
      </w:pPr>
      <w:r>
        <w:t>La institución ofrecerá alfabetización diferenciada para estudiantes y docentes, incluyendo capacidades, límites, sesgos, verificación, citación, protección de datos, propiedad intelectual, accesibilidad y diseño de evaluación. Biblioteca, TI, docencia e integridad mantendrán recursos y canales de consulta.</w:t>
      </w:r>
    </w:p>
    <w:p>
      <w:pPr>
        <w:pStyle w:val="Heading2"/>
        <w:widowControl/>
      </w:pPr>
      <w:r>
        <w:t>Artículo 10. Revisión</w:t>
      </w:r>
    </w:p>
    <w:p>
      <w:pPr>
        <w:keepLines w:val="0"/>
        <w:widowControl/>
      </w:pPr>
      <w:r>
        <w:t>La política se revisará al menos anualmente con evidencia de implementación, cambios jurídicos, nuevas prácticas disciplinarias y participación de docentes y estudiantes.</w:t>
      </w:r>
    </w:p>
    <w:p>
      <w:pPr>
        <w:widowControl/>
      </w:pPr>
      <w:r>
        <w:br w:type="page"/>
      </w:r>
    </w:p>
    <w:p>
      <w:pPr>
        <w:pStyle w:val="Heading1"/>
        <w:widowControl/>
      </w:pPr>
      <w:r>
        <w:t>9. Apartado listo para incorporar en el syllabus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3F7FA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0"/>
            </w:pPr>
            <w:r>
              <w:rPr>
                <w:b/>
                <w:color w:val="2A7F7F"/>
                <w:sz w:val="22"/>
              </w:rPr>
              <w:t>INSTRUCCIÓN DE USO</w:t>
              <w:br/>
            </w:r>
            <w:r>
              <w:t>Copie esta sección en el syllabus, complete los campos entre corchetes y añada una etiqueta AIAS a cada evaluación. No basta con escribir “se permite IA”: deben definirse fronteras, evidencias y criterios.</w:t>
            </w:r>
          </w:p>
        </w:tc>
      </w:tr>
    </w:tbl>
    <w:p>
      <w:pPr>
        <w:pStyle w:val="Heading2"/>
        <w:widowControl/>
      </w:pPr>
      <w:r>
        <w:t>9.1 Cláusula completa recomendada</w:t>
      </w:r>
    </w:p>
    <w:p>
      <w:pPr>
        <w:pStyle w:val="Heading3"/>
        <w:keepLines w:val="0"/>
        <w:widowControl/>
      </w:pPr>
      <w:r>
        <w:t>Uso de inteligencia artificial generativa en este curso</w:t>
      </w:r>
    </w:p>
    <w:p>
      <w:pPr>
        <w:keepLines w:val="0"/>
        <w:widowControl/>
      </w:pPr>
      <w:r>
        <w:t>En este curso la IA generativa puede utilizarse como herramienta de apoyo al aprendizaje, nunca como sustituto del razonamiento, la práctica, la verificación o la responsabilidad del estudiante. Su uso se define por actividad mediante la escala AIAS v2: Nivel 1 Sin IA; Nivel 2 Planificación con IA; Nivel 3 Colaboración con IA; Nivel 4 IA plena dirigida; Nivel 5 Exploración con IA.</w:t>
      </w:r>
    </w:p>
    <w:p>
      <w:pPr>
        <w:keepLines w:val="0"/>
        <w:widowControl/>
      </w:pPr>
      <w:r>
        <w:t>Cada consigna indicará el nivel aplicable, qué usos están permitidos y prohibidos, qué evidencia debe entregarse y cómo se evaluará. Si una actividad calificada no indica nivel, en este curso se aplicará [Nivel 2 / consultar obligatoriamente al docente]. En exámenes o actividades supervisadas se aplicará el nivel indicado en la convocatoria.</w:t>
      </w:r>
    </w:p>
    <w:p>
      <w:pPr>
        <w:pStyle w:val="Heading3"/>
        <w:keepLines w:val="0"/>
        <w:widowControl/>
      </w:pPr>
      <w:r>
        <w:t>Reglas obligatorias para todo uso autorizado:</w:t>
      </w:r>
    </w:p>
    <w:p>
      <w:pPr>
        <w:pStyle w:val="ListBullet"/>
        <w:widowControl/>
        <w:spacing w:after="60"/>
      </w:pPr>
      <w:r>
        <w:t>Finalidad: usar la herramienta solo en las etapas permitidas y de forma coherente con el resultado de aprendizaje.</w:t>
      </w:r>
    </w:p>
    <w:p>
      <w:pPr>
        <w:pStyle w:val="ListBullet"/>
        <w:widowControl/>
        <w:spacing w:after="60"/>
      </w:pPr>
      <w:r>
        <w:t>Transparencia: declarar herramienta, proveedor, modelo o versión visible, fecha, finalidad, etapas y contenido incorporado.</w:t>
      </w:r>
    </w:p>
    <w:p>
      <w:pPr>
        <w:pStyle w:val="ListBullet"/>
        <w:widowControl/>
        <w:spacing w:after="60"/>
      </w:pPr>
      <w:r>
        <w:t>Trazabilidad: conservar [bitácora / prompts representativos / versiones / historial] según la consigna.</w:t>
      </w:r>
    </w:p>
    <w:p>
      <w:pPr>
        <w:pStyle w:val="ListBullet"/>
        <w:widowControl/>
        <w:spacing w:after="60"/>
      </w:pPr>
      <w:r>
        <w:t>Verificación: comprobar datos, citas, referencias, cálculos, código, traducciones e imágenes mediante fuentes o pruebas adecuadas.</w:t>
      </w:r>
    </w:p>
    <w:p>
      <w:pPr>
        <w:pStyle w:val="ListBullet"/>
        <w:widowControl/>
        <w:spacing w:after="60"/>
      </w:pPr>
      <w:r>
        <w:t>Responsabilidad: poder explicar, reproducir y defender las decisiones y el producto final.</w:t>
      </w:r>
    </w:p>
    <w:p>
      <w:pPr>
        <w:pStyle w:val="ListBullet"/>
        <w:widowControl/>
        <w:spacing w:after="60"/>
      </w:pPr>
      <w:r>
        <w:t>Privacidad: no ingresar datos personales, sensibles, confidenciales, inéditos ni restringidos en servicios no autorizados.</w:t>
      </w:r>
    </w:p>
    <w:p>
      <w:pPr>
        <w:pStyle w:val="ListBullet"/>
        <w:widowControl/>
        <w:spacing w:after="60"/>
      </w:pPr>
      <w:r>
        <w:t>Propiedad intelectual: respetar licencias, autoría, consentimiento y procedencia; citar o reconocer según [APA/MLA/Chicago/norma institucional].</w:t>
      </w:r>
    </w:p>
    <w:p>
      <w:pPr>
        <w:pStyle w:val="ListBullet"/>
        <w:widowControl/>
        <w:spacing w:after="60"/>
      </w:pPr>
      <w:r>
        <w:t>Equidad: comunicar al docente cualquier barrera de acceso; se ofrecerá una alternativa académicamente equivalente.</w:t>
      </w:r>
    </w:p>
    <w:p>
      <w:pPr>
        <w:keepLines w:val="0"/>
        <w:widowControl/>
      </w:pPr>
      <w:r>
        <w:t>La entrega de contenido generado en una fase no autorizada, el ocultamiento de un uso que debía declararse, la falsificación de fuentes o evidencias y la exposición indebida de datos se tratarán conforme a la política de integridad académica. Un detector de IA no será prueba única. Antes de una decisión, el estudiante podrá explicar su proceso y presentar borradores, fuentes u otras evidencias.</w:t>
      </w:r>
    </w:p>
    <w:p>
      <w:pPr>
        <w:keepLines w:val="0"/>
        <w:widowControl/>
      </w:pPr>
      <w:r>
        <w:t>El docente también se compromete a revisar las salidas de IA que use en materiales o retroalimentación, proteger los datos del curso y declarar los usos sustantivos que afecten el aprendizaje o la evaluación.</w:t>
      </w:r>
    </w:p>
    <w:p>
      <w:pPr>
        <w:pStyle w:val="Heading2"/>
        <w:widowControl/>
      </w:pPr>
      <w:r>
        <w:t>9.2 Versión breve para syllabus con poco espacio</w:t>
      </w:r>
    </w:p>
    <w:p>
      <w:pPr>
        <w:pStyle w:val="Callout"/>
        <w:keepLines w:val="0"/>
        <w:widowControl/>
      </w:pPr>
      <w:r>
        <w:t>La IA generativa está permitida únicamente en el nivel indicado para cada actividad (AIAS v2: 1 Sin IA; 2 Planificación; 3 Colaboración; 4 IA plena dirigida; 5 Exploración). Todo uso autorizado debe declararse y verificarse; el estudiante conserva responsabilidad plena y debe poder explicar su trabajo. No se ingresarán datos personales, sensibles, confidenciales o restringidos en herramientas no autorizadas. Si una tarea calificada no indica nivel, rige [Nivel 2 / consulta obligatoria]. El uso fuera de las reglas, la ocultación o la falsificación de fuentes/evidencias se tramitará mediante la política de integridad y debido proceso; un detector no constituye prueba única.</w:t>
      </w:r>
    </w:p>
    <w:p>
      <w:pPr>
        <w:pStyle w:val="Heading2"/>
        <w:widowControl/>
      </w:pPr>
      <w:r>
        <w:t>9.3 Tabla que debe completar el docente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66"/>
        <w:gridCol w:w="1666"/>
        <w:gridCol w:w="1666"/>
        <w:gridCol w:w="1666"/>
        <w:gridCol w:w="1666"/>
        <w:gridCol w:w="1666"/>
      </w:tblGrid>
      <w:tr>
        <w:trPr>
          <w:tblHeader w:val="true"/>
        </w:trPr>
        <w:tc>
          <w:tcPr>
            <w:tcW w:type="dxa" w:w="1584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6"/>
              </w:rPr>
              <w:t>Evaluación</w:t>
            </w:r>
          </w:p>
        </w:tc>
        <w:tc>
          <w:tcPr>
            <w:tcW w:type="dxa" w:w="2016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6"/>
              </w:rPr>
              <w:t>Resultado de aprendizaje</w:t>
            </w:r>
          </w:p>
        </w:tc>
        <w:tc>
          <w:tcPr>
            <w:tcW w:type="dxa" w:w="1224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6"/>
              </w:rPr>
              <w:t>Nivel AIAS</w:t>
            </w:r>
          </w:p>
        </w:tc>
        <w:tc>
          <w:tcPr>
            <w:tcW w:type="dxa" w:w="1800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6"/>
              </w:rPr>
              <w:t>Puede usar IA para</w:t>
            </w:r>
          </w:p>
        </w:tc>
        <w:tc>
          <w:tcPr>
            <w:tcW w:type="dxa" w:w="1800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6"/>
              </w:rPr>
              <w:t>No puede usar IA para</w:t>
            </w:r>
          </w:p>
        </w:tc>
        <w:tc>
          <w:tcPr>
            <w:tcW w:type="dxa" w:w="1800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6"/>
              </w:rPr>
              <w:t>Evidencia requerida</w:t>
            </w:r>
          </w:p>
        </w:tc>
      </w:tr>
      <w:tr>
        <w:trPr>
          <w:cantSplit/>
        </w:trPr>
        <w:tc>
          <w:tcPr>
            <w:tcW w:type="dxa" w:w="158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[Actividad 1]</w:t>
            </w:r>
          </w:p>
        </w:tc>
        <w:tc>
          <w:tcPr>
            <w:tcW w:type="dxa" w:w="2016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[RA]</w:t>
            </w:r>
          </w:p>
        </w:tc>
        <w:tc>
          <w:tcPr>
            <w:tcW w:type="dxa" w:w="122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[1–5]</w:t>
            </w:r>
          </w:p>
        </w:tc>
        <w:tc>
          <w:tcPr>
            <w:tcW w:type="dxa" w:w="180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[Usos]</w:t>
            </w:r>
          </w:p>
        </w:tc>
        <w:tc>
          <w:tcPr>
            <w:tcW w:type="dxa" w:w="180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[Límites]</w:t>
            </w:r>
          </w:p>
        </w:tc>
        <w:tc>
          <w:tcPr>
            <w:tcW w:type="dxa" w:w="180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[Declaración/bitácora/etc.]</w:t>
            </w:r>
          </w:p>
        </w:tc>
      </w:tr>
      <w:tr>
        <w:trPr>
          <w:cantSplit/>
        </w:trPr>
        <w:tc>
          <w:tcPr>
            <w:tcW w:type="dxa" w:w="1584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[Actividad 2]</w:t>
            </w:r>
          </w:p>
        </w:tc>
        <w:tc>
          <w:tcPr>
            <w:tcW w:type="dxa" w:w="2016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[RA]</w:t>
            </w:r>
          </w:p>
        </w:tc>
        <w:tc>
          <w:tcPr>
            <w:tcW w:type="dxa" w:w="1224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[1–5]</w:t>
            </w:r>
          </w:p>
        </w:tc>
        <w:tc>
          <w:tcPr>
            <w:tcW w:type="dxa" w:w="1800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[Usos]</w:t>
            </w:r>
          </w:p>
        </w:tc>
        <w:tc>
          <w:tcPr>
            <w:tcW w:type="dxa" w:w="1800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[Límites]</w:t>
            </w:r>
          </w:p>
        </w:tc>
        <w:tc>
          <w:tcPr>
            <w:tcW w:type="dxa" w:w="1800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[Declaración/bitácora/etc.]</w:t>
            </w:r>
          </w:p>
        </w:tc>
      </w:tr>
      <w:tr>
        <w:trPr>
          <w:cantSplit/>
        </w:trPr>
        <w:tc>
          <w:tcPr>
            <w:tcW w:type="dxa" w:w="158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[Actividad 3]</w:t>
            </w:r>
          </w:p>
        </w:tc>
        <w:tc>
          <w:tcPr>
            <w:tcW w:type="dxa" w:w="2016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[RA]</w:t>
            </w:r>
          </w:p>
        </w:tc>
        <w:tc>
          <w:tcPr>
            <w:tcW w:type="dxa" w:w="122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[1–5]</w:t>
            </w:r>
          </w:p>
        </w:tc>
        <w:tc>
          <w:tcPr>
            <w:tcW w:type="dxa" w:w="180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[Usos]</w:t>
            </w:r>
          </w:p>
        </w:tc>
        <w:tc>
          <w:tcPr>
            <w:tcW w:type="dxa" w:w="180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[Límites]</w:t>
            </w:r>
          </w:p>
        </w:tc>
        <w:tc>
          <w:tcPr>
            <w:tcW w:type="dxa" w:w="180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[Declaración/bitácora/etc.]</w:t>
            </w:r>
          </w:p>
        </w:tc>
      </w:tr>
    </w:tbl>
    <w:p>
      <w:pPr>
        <w:widowControl/>
        <w:spacing w:after="0"/>
      </w:pPr>
    </w:p>
    <w:p>
      <w:pPr>
        <w:pStyle w:val="Heading1"/>
        <w:widowControl/>
      </w:pPr>
      <w:r>
        <w:t>10. Plantilla por actividad y ejemplos</w:t>
      </w:r>
    </w:p>
    <w:p>
      <w:pPr>
        <w:pStyle w:val="Heading2"/>
        <w:widowControl/>
      </w:pPr>
      <w:r>
        <w:t>10.1 Tarjeta de autorización para cada consigna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2376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7"/>
              </w:rPr>
              <w:t>Campo</w:t>
            </w:r>
          </w:p>
        </w:tc>
        <w:tc>
          <w:tcPr>
            <w:tcW w:type="dxa" w:w="7560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7"/>
              </w:rPr>
              <w:t>Complete antes de publicar</w:t>
            </w:r>
          </w:p>
        </w:tc>
      </w:tr>
      <w:tr>
        <w:trPr>
          <w:cantSplit/>
        </w:trPr>
        <w:tc>
          <w:tcPr>
            <w:tcW w:type="dxa" w:w="2376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Nivel AIAS v2</w:t>
            </w:r>
          </w:p>
        </w:tc>
        <w:tc>
          <w:tcPr>
            <w:tcW w:type="dxa" w:w="756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[1 / 2 / 3 / 4 / 5] y nombre.</w:t>
            </w:r>
          </w:p>
        </w:tc>
      </w:tr>
      <w:tr>
        <w:trPr>
          <w:cantSplit/>
        </w:trPr>
        <w:tc>
          <w:tcPr>
            <w:tcW w:type="dxa" w:w="2376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Propósito</w:t>
            </w:r>
          </w:p>
        </w:tc>
        <w:tc>
          <w:tcPr>
            <w:tcW w:type="dxa" w:w="7560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La IA se usa aquí para…</w:t>
            </w:r>
          </w:p>
        </w:tc>
      </w:tr>
      <w:tr>
        <w:trPr>
          <w:cantSplit/>
        </w:trPr>
        <w:tc>
          <w:tcPr>
            <w:tcW w:type="dxa" w:w="2376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Puede</w:t>
            </w:r>
          </w:p>
        </w:tc>
        <w:tc>
          <w:tcPr>
            <w:tcW w:type="dxa" w:w="756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Etapas y acciones permitidas, con ejemplos.</w:t>
            </w:r>
          </w:p>
        </w:tc>
      </w:tr>
      <w:tr>
        <w:trPr>
          <w:cantSplit/>
        </w:trPr>
        <w:tc>
          <w:tcPr>
            <w:tcW w:type="dxa" w:w="2376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No puede</w:t>
            </w:r>
          </w:p>
        </w:tc>
        <w:tc>
          <w:tcPr>
            <w:tcW w:type="dxa" w:w="7560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Etapas reservadas al estudiante y herramientas/contenidos excluidos.</w:t>
            </w:r>
          </w:p>
        </w:tc>
      </w:tr>
      <w:tr>
        <w:trPr>
          <w:cantSplit/>
        </w:trPr>
        <w:tc>
          <w:tcPr>
            <w:tcW w:type="dxa" w:w="2376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Debe entregar</w:t>
            </w:r>
          </w:p>
        </w:tc>
        <w:tc>
          <w:tcPr>
            <w:tcW w:type="dxa" w:w="756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Producto + declaración + bitácora/versiones/fuentes/defensa.</w:t>
            </w:r>
          </w:p>
        </w:tc>
      </w:tr>
      <w:tr>
        <w:trPr>
          <w:cantSplit/>
        </w:trPr>
        <w:tc>
          <w:tcPr>
            <w:tcW w:type="dxa" w:w="2376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Datos y herramientas</w:t>
            </w:r>
          </w:p>
        </w:tc>
        <w:tc>
          <w:tcPr>
            <w:tcW w:type="dxa" w:w="7560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Herramientas autorizadas; datos que no deben ingresarse; alternativa disponible.</w:t>
            </w:r>
          </w:p>
        </w:tc>
      </w:tr>
      <w:tr>
        <w:trPr>
          <w:cantSplit/>
        </w:trPr>
        <w:tc>
          <w:tcPr>
            <w:tcW w:type="dxa" w:w="2376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Se evaluará</w:t>
            </w:r>
          </w:p>
        </w:tc>
        <w:tc>
          <w:tcPr>
            <w:tcW w:type="dxa" w:w="756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Criterios y pesos; aclarar si la competencia con IA es objetivo.</w:t>
            </w:r>
          </w:p>
        </w:tc>
      </w:tr>
      <w:tr>
        <w:trPr>
          <w:cantSplit/>
        </w:trPr>
        <w:tc>
          <w:tcPr>
            <w:tcW w:type="dxa" w:w="2376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Citación</w:t>
            </w:r>
          </w:p>
        </w:tc>
        <w:tc>
          <w:tcPr>
            <w:tcW w:type="dxa" w:w="7560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Estilo, lugar de la declaración y tratamiento de salida directa.</w:t>
            </w:r>
          </w:p>
        </w:tc>
      </w:tr>
    </w:tbl>
    <w:p>
      <w:pPr>
        <w:widowControl/>
        <w:spacing w:after="0"/>
      </w:pPr>
    </w:p>
    <w:p>
      <w:pPr>
        <w:pStyle w:val="Heading2"/>
        <w:widowControl/>
      </w:pPr>
      <w:r>
        <w:t>10.2 Ejemplos disciplinares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1944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5"/>
              </w:rPr>
              <w:t>Contexto</w:t>
            </w:r>
          </w:p>
        </w:tc>
        <w:tc>
          <w:tcPr>
            <w:tcW w:type="dxa" w:w="1080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5"/>
              </w:rPr>
              <w:t>Nivel sugerido</w:t>
            </w:r>
          </w:p>
        </w:tc>
        <w:tc>
          <w:tcPr>
            <w:tcW w:type="dxa" w:w="4392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5"/>
              </w:rPr>
              <w:t>Diseño concreto</w:t>
            </w:r>
          </w:p>
        </w:tc>
        <w:tc>
          <w:tcPr>
            <w:tcW w:type="dxa" w:w="2592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5"/>
              </w:rPr>
              <w:t>Evidencia</w:t>
            </w:r>
          </w:p>
        </w:tc>
      </w:tr>
      <w:tr>
        <w:trPr>
          <w:cantSplit/>
        </w:trPr>
        <w:tc>
          <w:tcPr>
            <w:tcW w:type="dxa" w:w="194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Ciencias de la salud: identificación y decisión básica</w:t>
            </w:r>
          </w:p>
        </w:tc>
        <w:tc>
          <w:tcPr>
            <w:tcW w:type="dxa" w:w="108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1</w:t>
            </w:r>
          </w:p>
        </w:tc>
        <w:tc>
          <w:tcPr>
            <w:tcW w:type="dxa" w:w="439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Caso o estación supervisada. Se permiten adaptaciones aprobadas, no generación de respuestas.</w:t>
            </w:r>
          </w:p>
        </w:tc>
        <w:tc>
          <w:tcPr>
            <w:tcW w:type="dxa" w:w="259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Desempeño observado + explicación clínica.</w:t>
            </w:r>
          </w:p>
        </w:tc>
      </w:tr>
      <w:tr>
        <w:trPr>
          <w:cantSplit/>
        </w:trPr>
        <w:tc>
          <w:tcPr>
            <w:tcW w:type="dxa" w:w="1944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Derecho: memorando</w:t>
            </w:r>
          </w:p>
        </w:tc>
        <w:tc>
          <w:tcPr>
            <w:tcW w:type="dxa" w:w="1080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2 o 3</w:t>
            </w:r>
          </w:p>
        </w:tc>
        <w:tc>
          <w:tcPr>
            <w:tcW w:type="dxa" w:w="4392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IA para mapa de cuestiones o contraargumentos; toda norma y jurisprudencia se abre y verifica.</w:t>
            </w:r>
          </w:p>
        </w:tc>
        <w:tc>
          <w:tcPr>
            <w:tcW w:type="dxa" w:w="2592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Esquema, tabla de autoridades verificadas, declaración y defensa.</w:t>
            </w:r>
          </w:p>
        </w:tc>
      </w:tr>
      <w:tr>
        <w:trPr>
          <w:cantSplit/>
        </w:trPr>
        <w:tc>
          <w:tcPr>
            <w:tcW w:type="dxa" w:w="194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Ingeniería: informe de laboratorio</w:t>
            </w:r>
          </w:p>
        </w:tc>
        <w:tc>
          <w:tcPr>
            <w:tcW w:type="dxa" w:w="108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3</w:t>
            </w:r>
          </w:p>
        </w:tc>
        <w:tc>
          <w:tcPr>
            <w:tcW w:type="dxa" w:w="439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IA para depurar código o comentar resultados; no para fabricar datos ni sustituir mediciones.</w:t>
            </w:r>
          </w:p>
        </w:tc>
        <w:tc>
          <w:tcPr>
            <w:tcW w:type="dxa" w:w="259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Datos crudos, repositorio/versiones, pruebas, bitácora y limitaciones.</w:t>
            </w:r>
          </w:p>
        </w:tc>
      </w:tr>
      <w:tr>
        <w:trPr>
          <w:cantSplit/>
        </w:trPr>
        <w:tc>
          <w:tcPr>
            <w:tcW w:type="dxa" w:w="1944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Negocios: campaña</w:t>
            </w:r>
          </w:p>
        </w:tc>
        <w:tc>
          <w:tcPr>
            <w:tcW w:type="dxa" w:w="1080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4</w:t>
            </w:r>
          </w:p>
        </w:tc>
        <w:tc>
          <w:tcPr>
            <w:tcW w:type="dxa" w:w="4392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Uso extensivo para variantes; el estudiante define audiencia, criterios, evidencia y selección final.</w:t>
            </w:r>
          </w:p>
        </w:tc>
        <w:tc>
          <w:tcPr>
            <w:tcW w:type="dxa" w:w="2592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Matriz de decisión, procedencia de activos, pruebas de sesgo y pitch.</w:t>
            </w:r>
          </w:p>
        </w:tc>
      </w:tr>
      <w:tr>
        <w:trPr>
          <w:cantSplit/>
        </w:trPr>
        <w:tc>
          <w:tcPr>
            <w:tcW w:type="dxa" w:w="194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Diseño/arte: experimento creativo</w:t>
            </w:r>
          </w:p>
        </w:tc>
        <w:tc>
          <w:tcPr>
            <w:tcW w:type="dxa" w:w="108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5</w:t>
            </w:r>
          </w:p>
        </w:tc>
        <w:tc>
          <w:tcPr>
            <w:tcW w:type="dxa" w:w="439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Explorar affordances y fallos; documentar iteraciones, autoría, licencias y decisiones estéticas.</w:t>
            </w:r>
          </w:p>
        </w:tc>
        <w:tc>
          <w:tcPr>
            <w:tcW w:type="dxa" w:w="259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Diario visual, prompts clave, procedencia, crítica y reflexión ética.</w:t>
            </w:r>
          </w:p>
        </w:tc>
      </w:tr>
      <w:tr>
        <w:trPr>
          <w:cantSplit/>
        </w:trPr>
        <w:tc>
          <w:tcPr>
            <w:tcW w:type="dxa" w:w="1944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Humanidades: ensayo de primer año</w:t>
            </w:r>
          </w:p>
        </w:tc>
        <w:tc>
          <w:tcPr>
            <w:tcW w:type="dxa" w:w="1080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2</w:t>
            </w:r>
          </w:p>
        </w:tc>
        <w:tc>
          <w:tcPr>
            <w:tcW w:type="dxa" w:w="4392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IA para preguntas y estructura; tesis, análisis textual y redacción final son propios.</w:t>
            </w:r>
          </w:p>
        </w:tc>
        <w:tc>
          <w:tcPr>
            <w:tcW w:type="dxa" w:w="2592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5"/>
              </w:rPr>
              <w:t>Plan inicial, fuentes leídas, breve declaración y conversación oral.</w:t>
            </w:r>
          </w:p>
        </w:tc>
      </w:tr>
    </w:tbl>
    <w:p>
      <w:pPr>
        <w:widowControl/>
        <w:spacing w:after="0"/>
      </w:pPr>
    </w:p>
    <w:p>
      <w:pPr>
        <w:pStyle w:val="Heading2"/>
        <w:widowControl/>
      </w:pPr>
      <w:r>
        <w:t>10.3 Ejemplo completo: proyecto de nivel 3</w:t>
      </w:r>
    </w:p>
    <w:p>
      <w:pPr>
        <w:keepLines w:val="0"/>
        <w:widowControl/>
      </w:pPr>
      <w:r>
        <w:t>Nivel AIAS: 3 — Colaboración con IA. Puede: generar alternativas de estructura, pedir contraargumentos, solicitar retroalimentación sobre claridad y depurar fragmentos de código. No puede: producir la tesis final, inventar datos, redactar íntegramente el análisis ni generar referencias no consultadas. Debe entregar: producto final, bitácora de una página, dos versiones, matriz de verificación y declaración. Se evaluará: razonamiento 30%, proceso 20%, verificación 20%, producto 15%, transparencia/ética 15%.</w:t>
      </w:r>
    </w:p>
    <w:p>
      <w:pPr>
        <w:pStyle w:val="Heading1"/>
        <w:widowControl/>
      </w:pPr>
      <w:r>
        <w:t>11. Procedimiento ante posibles incumplimientos</w:t>
      </w:r>
    </w:p>
    <w:p>
      <w:pPr>
        <w:keepLines w:val="0"/>
        <w:widowControl/>
      </w:pPr>
      <w:r>
        <w:t>El objetivo es distinguir error, confusión, apoyo autorizado y conducta impropia mediante evidencia, no adivinar la procedencia del texto.</w:t>
      </w:r>
    </w:p>
    <w:p>
      <w:pPr>
        <w:widowControl/>
        <w:spacing w:after="60"/>
        <w:ind w:left="360" w:hanging="360"/>
      </w:pPr>
      <w:r>
        <w:rPr>
          <w:b/>
        </w:rPr>
        <w:t xml:space="preserve">1. </w:t>
      </w:r>
      <w:r>
        <w:t>Señal inicial: identificar la preocupación concreta —citas inexistentes, inconsistencia conceptual, metadatos, cambios de desempeño, coincidencias o alerta técnica— sin presumir culpabilidad.</w:t>
      </w:r>
    </w:p>
    <w:p>
      <w:pPr>
        <w:widowControl/>
        <w:spacing w:after="60"/>
        <w:ind w:left="360" w:hanging="360"/>
      </w:pPr>
      <w:r>
        <w:rPr>
          <w:b/>
        </w:rPr>
        <w:t xml:space="preserve">2. </w:t>
      </w:r>
      <w:r>
        <w:t>Preservación: conservar la entrega, consigna, versión de la política y evidencia disponible; no subir el trabajo a herramientas externas no autorizadas.</w:t>
      </w:r>
    </w:p>
    <w:p>
      <w:pPr>
        <w:widowControl/>
        <w:spacing w:after="60"/>
        <w:ind w:left="360" w:hanging="360"/>
      </w:pPr>
      <w:r>
        <w:rPr>
          <w:b/>
        </w:rPr>
        <w:t xml:space="preserve">3. </w:t>
      </w:r>
      <w:r>
        <w:t>Contraste: buscar evidencia que confirme y que contradiga la hipótesis; revisar borradores, fuentes, historial institucional o producto intermedio.</w:t>
      </w:r>
    </w:p>
    <w:p>
      <w:pPr>
        <w:widowControl/>
        <w:spacing w:after="60"/>
        <w:ind w:left="360" w:hanging="360"/>
      </w:pPr>
      <w:r>
        <w:rPr>
          <w:b/>
        </w:rPr>
        <w:t xml:space="preserve">4. </w:t>
      </w:r>
      <w:r>
        <w:t>Explicación: invitar al estudiante a describir y, cuando sea razonable, demostrar su proceso, decisiones y conocimiento.</w:t>
      </w:r>
    </w:p>
    <w:p>
      <w:pPr>
        <w:widowControl/>
        <w:spacing w:after="60"/>
        <w:ind w:left="360" w:hanging="360"/>
      </w:pPr>
      <w:r>
        <w:rPr>
          <w:b/>
        </w:rPr>
        <w:t xml:space="preserve">5. </w:t>
      </w:r>
      <w:r>
        <w:t>Valoración humana: decidir con criterios publicados, carga de prueba institucional y proporcionalidad. El porcentaje de un detector nunca basta.</w:t>
      </w:r>
    </w:p>
    <w:p>
      <w:pPr>
        <w:widowControl/>
        <w:spacing w:after="60"/>
        <w:ind w:left="360" w:hanging="360"/>
      </w:pPr>
      <w:r>
        <w:rPr>
          <w:b/>
        </w:rPr>
        <w:t xml:space="preserve">6. </w:t>
      </w:r>
      <w:r>
        <w:t>Respuesta educativa o disciplinaria: diferenciar uso permitido mal declarado, error de citación, negligencia de verificación y fraude deliberado.</w:t>
      </w:r>
    </w:p>
    <w:p>
      <w:pPr>
        <w:widowControl/>
        <w:spacing w:after="60"/>
        <w:ind w:left="360" w:hanging="360"/>
      </w:pPr>
      <w:r>
        <w:rPr>
          <w:b/>
        </w:rPr>
        <w:t xml:space="preserve">7. </w:t>
      </w:r>
      <w:r>
        <w:t>Decisión motivada y apelación: registrar fundamentos, evidencias y vía de revisión conforme a la normativa vigente.</w:t>
      </w:r>
    </w:p>
    <w:p>
      <w:pPr>
        <w:pStyle w:val="Heading2"/>
        <w:widowControl/>
      </w:pPr>
      <w:r>
        <w:t>11.1 Matriz orientativa de respuesta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2592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6"/>
              </w:rPr>
              <w:t>Situación</w:t>
            </w:r>
          </w:p>
        </w:tc>
        <w:tc>
          <w:tcPr>
            <w:tcW w:type="dxa" w:w="4032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6"/>
              </w:rPr>
              <w:t>Respuesta inicial</w:t>
            </w:r>
          </w:p>
        </w:tc>
        <w:tc>
          <w:tcPr>
            <w:tcW w:type="dxa" w:w="3384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6"/>
              </w:rPr>
              <w:t>Escalamiento posible</w:t>
            </w:r>
          </w:p>
        </w:tc>
      </w:tr>
      <w:tr>
        <w:trPr>
          <w:cantSplit/>
        </w:trPr>
        <w:tc>
          <w:tcPr>
            <w:tcW w:type="dxa" w:w="259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Uso permitido, declaración incompleta</w:t>
            </w:r>
          </w:p>
        </w:tc>
        <w:tc>
          <w:tcPr>
            <w:tcW w:type="dxa" w:w="40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Corrección formativa o ajuste según rúbrica publicada.</w:t>
            </w:r>
          </w:p>
        </w:tc>
        <w:tc>
          <w:tcPr>
            <w:tcW w:type="dxa" w:w="338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Reincidencia deliberada conforme a política.</w:t>
            </w:r>
          </w:p>
        </w:tc>
      </w:tr>
      <w:tr>
        <w:trPr>
          <w:cantSplit/>
        </w:trPr>
        <w:tc>
          <w:tcPr>
            <w:tcW w:type="dxa" w:w="2592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Referencia falsa no verificada</w:t>
            </w:r>
          </w:p>
        </w:tc>
        <w:tc>
          <w:tcPr>
            <w:tcW w:type="dxa" w:w="4032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Verificar alcance y efecto; retroalimentación y corrección.</w:t>
            </w:r>
          </w:p>
        </w:tc>
        <w:tc>
          <w:tcPr>
            <w:tcW w:type="dxa" w:w="3384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Integridad académica si hubo fabricación consciente o patrón grave.</w:t>
            </w:r>
          </w:p>
        </w:tc>
      </w:tr>
      <w:tr>
        <w:trPr>
          <w:cantSplit/>
        </w:trPr>
        <w:tc>
          <w:tcPr>
            <w:tcW w:type="dxa" w:w="259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Uso en fase prohibida</w:t>
            </w:r>
          </w:p>
        </w:tc>
        <w:tc>
          <w:tcPr>
            <w:tcW w:type="dxa" w:w="40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Entrevista y revisión de proceso.</w:t>
            </w:r>
          </w:p>
        </w:tc>
        <w:tc>
          <w:tcPr>
            <w:tcW w:type="dxa" w:w="338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Procedimiento formal con proporcionalidad.</w:t>
            </w:r>
          </w:p>
        </w:tc>
      </w:tr>
      <w:tr>
        <w:trPr>
          <w:cantSplit/>
        </w:trPr>
        <w:tc>
          <w:tcPr>
            <w:tcW w:type="dxa" w:w="2592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Alerta de detector sin más evidencia</w:t>
            </w:r>
          </w:p>
        </w:tc>
        <w:tc>
          <w:tcPr>
            <w:tcW w:type="dxa" w:w="4032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No sancionar; recabar contexto y evidencia independiente.</w:t>
            </w:r>
          </w:p>
        </w:tc>
        <w:tc>
          <w:tcPr>
            <w:tcW w:type="dxa" w:w="3384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Cerrar si no existe sustento adicional.</w:t>
            </w:r>
          </w:p>
        </w:tc>
      </w:tr>
      <w:tr>
        <w:trPr>
          <w:cantSplit/>
        </w:trPr>
        <w:tc>
          <w:tcPr>
            <w:tcW w:type="dxa" w:w="259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Exposición de datos sensibles</w:t>
            </w:r>
          </w:p>
        </w:tc>
        <w:tc>
          <w:tcPr>
            <w:tcW w:type="dxa" w:w="40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Contención y notificación por canal de privacidad/seguridad.</w:t>
            </w:r>
          </w:p>
        </w:tc>
        <w:tc>
          <w:tcPr>
            <w:tcW w:type="dxa" w:w="338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Procedimiento específico de incidente, además del académico.</w:t>
            </w:r>
          </w:p>
        </w:tc>
      </w:tr>
    </w:tbl>
    <w:p>
      <w:pPr>
        <w:widowControl/>
        <w:spacing w:after="0"/>
      </w:pPr>
    </w:p>
    <w:p>
      <w:pPr>
        <w:pStyle w:val="Heading1"/>
        <w:widowControl/>
      </w:pPr>
      <w:r>
        <w:t>12. Implementación inicial de 90 días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2088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6"/>
              </w:rPr>
              <w:t>Fase</w:t>
            </w:r>
          </w:p>
        </w:tc>
        <w:tc>
          <w:tcPr>
            <w:tcW w:type="dxa" w:w="5616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6"/>
              </w:rPr>
              <w:t>Acciones</w:t>
            </w:r>
          </w:p>
        </w:tc>
        <w:tc>
          <w:tcPr>
            <w:tcW w:type="dxa" w:w="2304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6"/>
              </w:rPr>
              <w:t>Producto verificable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Días 0–30 · Preparar</w:t>
            </w:r>
          </w:p>
        </w:tc>
        <w:tc>
          <w:tcPr>
            <w:tcW w:type="dxa" w:w="5616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Nombrar equipo pequeño; aprobar regla provisional; seleccionar 5–10 cursos diversos; capacitar 2 horas; etiquetar evaluaciones; definir canal de consulta.</w:t>
            </w:r>
          </w:p>
        </w:tc>
        <w:tc>
          <w:tcPr>
            <w:tcW w:type="dxa" w:w="230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Política piloto, syllabus revisados, banco de ejemplos y línea base.</w:t>
            </w:r>
          </w:p>
        </w:tc>
      </w:tr>
      <w:tr>
        <w:trPr>
          <w:cantSplit/>
        </w:trPr>
        <w:tc>
          <w:tcPr>
            <w:tcW w:type="dxa" w:w="2088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Días 31–60 · Probar</w:t>
            </w:r>
          </w:p>
        </w:tc>
        <w:tc>
          <w:tcPr>
            <w:tcW w:type="dxa" w:w="5616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Aplicar ambas vías; recoger declaraciones y bitácoras; observar acceso, carga, ambigüedad y casos; reuniones breves quincenales.</w:t>
            </w:r>
          </w:p>
        </w:tc>
        <w:tc>
          <w:tcPr>
            <w:tcW w:type="dxa" w:w="2304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Registro de incidencias, muestras anonimizadas y ajustes rápidos.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Días 61–90 · Ajustar</w:t>
            </w:r>
          </w:p>
        </w:tc>
        <w:tc>
          <w:tcPr>
            <w:tcW w:type="dxa" w:w="5616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Encuestar; revisar casos; actualizar cláusulas, rúbrica y procedimiento; validar con jurídica, TI, biblioteca y accesibilidad; plan de escalamiento.</w:t>
            </w:r>
          </w:p>
        </w:tc>
        <w:tc>
          <w:tcPr>
            <w:tcW w:type="dxa" w:w="230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Informe de piloto, versión 1.0 y calendario anual de revisión.</w:t>
            </w:r>
          </w:p>
        </w:tc>
      </w:tr>
    </w:tbl>
    <w:p>
      <w:pPr>
        <w:widowControl/>
        <w:spacing w:after="0"/>
      </w:pPr>
    </w:p>
    <w:p>
      <w:pPr>
        <w:pStyle w:val="Heading2"/>
        <w:widowControl/>
      </w:pPr>
      <w:r>
        <w:t>12.1 Indicadores útiles</w:t>
      </w:r>
    </w:p>
    <w:p>
      <w:pPr>
        <w:pStyle w:val="ListBullet"/>
        <w:widowControl/>
        <w:spacing w:after="60"/>
      </w:pPr>
      <w:r>
        <w:t>Cobertura: porcentaje de actividades evaluadas con nivel, fronteras y evidencia explícitos.</w:t>
      </w:r>
    </w:p>
    <w:p>
      <w:pPr>
        <w:pStyle w:val="ListBullet"/>
        <w:widowControl/>
        <w:spacing w:after="60"/>
      </w:pPr>
      <w:r>
        <w:t>Comprensión: porcentaje de estudiantes que identifica correctamente qué puede y no puede hacer.</w:t>
      </w:r>
    </w:p>
    <w:p>
      <w:pPr>
        <w:pStyle w:val="ListBullet"/>
        <w:widowControl/>
        <w:spacing w:after="60"/>
      </w:pPr>
      <w:r>
        <w:t>Transparencia: calidad y completitud de declaraciones, no mera cantidad de usos.</w:t>
      </w:r>
    </w:p>
    <w:p>
      <w:pPr>
        <w:pStyle w:val="ListBullet"/>
        <w:widowControl/>
        <w:spacing w:after="60"/>
      </w:pPr>
      <w:r>
        <w:t>Aprendizaje: desempeño en evidencias controladas y abiertas; capacidad de justificar y verificar.</w:t>
      </w:r>
    </w:p>
    <w:p>
      <w:pPr>
        <w:pStyle w:val="ListBullet"/>
        <w:widowControl/>
        <w:spacing w:after="60"/>
      </w:pPr>
      <w:r>
        <w:t>Calidad: referencias válidas, errores detectados/corregidos y resultados reproducibles.</w:t>
      </w:r>
    </w:p>
    <w:p>
      <w:pPr>
        <w:pStyle w:val="ListBullet"/>
        <w:widowControl/>
        <w:spacing w:after="60"/>
      </w:pPr>
      <w:r>
        <w:t>Equidad: barreras de acceso, costo, idioma, discapacidad y disponibilidad de alternativas.</w:t>
      </w:r>
    </w:p>
    <w:p>
      <w:pPr>
        <w:pStyle w:val="ListBullet"/>
        <w:widowControl/>
        <w:spacing w:after="60"/>
      </w:pPr>
      <w:r>
        <w:t>Carga: tiempo docente y estudiantil dedicado a documentación y revisión.</w:t>
      </w:r>
    </w:p>
    <w:p>
      <w:pPr>
        <w:pStyle w:val="ListBullet"/>
        <w:widowControl/>
        <w:spacing w:after="60"/>
      </w:pPr>
      <w:r>
        <w:t>Debido proceso: casos originados solo por detector, tiempos de resolución y apelaciones.</w:t>
      </w:r>
    </w:p>
    <w:p>
      <w:pPr>
        <w:pStyle w:val="Heading2"/>
        <w:widowControl/>
      </w:pPr>
      <w:r>
        <w:t>12.2 Formación mínima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2088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7"/>
              </w:rPr>
              <w:t>Público</w:t>
            </w:r>
          </w:p>
        </w:tc>
        <w:tc>
          <w:tcPr>
            <w:tcW w:type="dxa" w:w="7920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7"/>
              </w:rPr>
              <w:t>Módulo mínimo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Docentes</w:t>
            </w:r>
          </w:p>
        </w:tc>
        <w:tc>
          <w:tcPr>
            <w:tcW w:type="dxa" w:w="792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AIAS v2; diseño por resultados; dos vías; evidencias de bajo costo; datos; citación; sesgos; manejo de sospechas.</w:t>
            </w:r>
          </w:p>
        </w:tc>
      </w:tr>
      <w:tr>
        <w:trPr>
          <w:cantSplit/>
        </w:trPr>
        <w:tc>
          <w:tcPr>
            <w:tcW w:type="dxa" w:w="2088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Estudiantes</w:t>
            </w:r>
          </w:p>
        </w:tc>
        <w:tc>
          <w:tcPr>
            <w:tcW w:type="dxa" w:w="7920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Capacidades y límites; verificación; declaración; fuentes; privacidad; propiedad intelectual; cómo preguntar ante ambigüedad.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Autoridades y soporte</w:t>
            </w:r>
          </w:p>
        </w:tc>
        <w:tc>
          <w:tcPr>
            <w:tcW w:type="dxa" w:w="792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7"/>
              </w:rPr>
              <w:t>Gobernanza, riesgo, compra de herramientas, accesibilidad, incidentes, métricas y revisión de política.</w:t>
            </w:r>
          </w:p>
        </w:tc>
      </w:tr>
    </w:tbl>
    <w:p>
      <w:pPr>
        <w:widowControl/>
        <w:spacing w:after="0"/>
      </w:pPr>
    </w:p>
    <w:p>
      <w:pPr>
        <w:pStyle w:val="Heading1"/>
        <w:widowControl/>
      </w:pPr>
      <w:r>
        <w:t>13. Listas de comprobación</w:t>
      </w:r>
    </w:p>
    <w:p>
      <w:pPr>
        <w:pStyle w:val="Heading2"/>
        <w:widowControl/>
      </w:pPr>
      <w:r>
        <w:t>13.1 Para quien aprueba el syllabus</w:t>
      </w:r>
    </w:p>
    <w:p>
      <w:pPr>
        <w:pStyle w:val="ListBullet"/>
        <w:widowControl/>
        <w:spacing w:after="60"/>
      </w:pPr>
      <w:r>
        <w:t>¿La cláusula general permite y limita con lenguaje inequívoco?</w:t>
      </w:r>
    </w:p>
    <w:p>
      <w:pPr>
        <w:pStyle w:val="ListBullet"/>
        <w:widowControl/>
        <w:spacing w:after="60"/>
      </w:pPr>
      <w:r>
        <w:t>¿Cada evaluación tiene nivel AIAS y fronteras concretas?</w:t>
      </w:r>
    </w:p>
    <w:p>
      <w:pPr>
        <w:pStyle w:val="ListBullet"/>
        <w:widowControl/>
        <w:spacing w:after="60"/>
      </w:pPr>
      <w:r>
        <w:t>¿El nivel permite observar el resultado de aprendizaje?</w:t>
      </w:r>
    </w:p>
    <w:p>
      <w:pPr>
        <w:pStyle w:val="ListBullet"/>
        <w:widowControl/>
        <w:spacing w:after="60"/>
      </w:pPr>
      <w:r>
        <w:t>¿Se exige evidencia proporcional, no burocracia indiscriminada?</w:t>
      </w:r>
    </w:p>
    <w:p>
      <w:pPr>
        <w:pStyle w:val="ListBullet"/>
        <w:widowControl/>
        <w:spacing w:after="60"/>
      </w:pPr>
      <w:r>
        <w:t>¿Se indica declaración, citación y verificación?</w:t>
      </w:r>
    </w:p>
    <w:p>
      <w:pPr>
        <w:pStyle w:val="ListBullet"/>
        <w:widowControl/>
        <w:spacing w:after="60"/>
      </w:pPr>
      <w:r>
        <w:t>¿Se protegen datos, confidencialidad y propiedad intelectual?</w:t>
      </w:r>
    </w:p>
    <w:p>
      <w:pPr>
        <w:pStyle w:val="ListBullet"/>
        <w:widowControl/>
        <w:spacing w:after="60"/>
      </w:pPr>
      <w:r>
        <w:t>¿Existe alternativa equivalente y accesible?</w:t>
      </w:r>
    </w:p>
    <w:p>
      <w:pPr>
        <w:pStyle w:val="ListBullet"/>
        <w:widowControl/>
        <w:spacing w:after="60"/>
      </w:pPr>
      <w:r>
        <w:t>¿El procedimiento no depende de detectores?</w:t>
      </w:r>
    </w:p>
    <w:p>
      <w:pPr>
        <w:pStyle w:val="ListBullet"/>
        <w:widowControl/>
        <w:spacing w:after="60"/>
      </w:pPr>
      <w:r>
        <w:t>¿El docente declara su propio uso sustantivo?</w:t>
      </w:r>
    </w:p>
    <w:p>
      <w:pPr>
        <w:pStyle w:val="Heading2"/>
        <w:widowControl/>
      </w:pPr>
      <w:r>
        <w:t>13.2 Para publicar una actividad</w:t>
      </w:r>
    </w:p>
    <w:p>
      <w:pPr>
        <w:pStyle w:val="ListBullet"/>
        <w:widowControl/>
        <w:spacing w:after="60"/>
      </w:pPr>
      <w:r>
        <w:t>Nivel y nombre visibles.</w:t>
      </w:r>
    </w:p>
    <w:p>
      <w:pPr>
        <w:pStyle w:val="ListBullet"/>
        <w:widowControl/>
        <w:spacing w:after="60"/>
      </w:pPr>
      <w:r>
        <w:t>Ejemplos de lo permitido y prohibido.</w:t>
      </w:r>
    </w:p>
    <w:p>
      <w:pPr>
        <w:pStyle w:val="ListBullet"/>
        <w:widowControl/>
        <w:spacing w:after="60"/>
      </w:pPr>
      <w:r>
        <w:t>Entregables de proceso.</w:t>
      </w:r>
    </w:p>
    <w:p>
      <w:pPr>
        <w:pStyle w:val="ListBullet"/>
        <w:widowControl/>
        <w:spacing w:after="60"/>
      </w:pPr>
      <w:r>
        <w:t>Herramientas y datos autorizados.</w:t>
      </w:r>
    </w:p>
    <w:p>
      <w:pPr>
        <w:pStyle w:val="ListBullet"/>
        <w:widowControl/>
        <w:spacing w:after="60"/>
      </w:pPr>
      <w:r>
        <w:t>Criterios y pesos.</w:t>
      </w:r>
    </w:p>
    <w:p>
      <w:pPr>
        <w:pStyle w:val="ListBullet"/>
        <w:widowControl/>
        <w:spacing w:after="60"/>
      </w:pPr>
      <w:r>
        <w:t>Regla de citación/declaración.</w:t>
      </w:r>
    </w:p>
    <w:p>
      <w:pPr>
        <w:pStyle w:val="ListBullet"/>
        <w:widowControl/>
        <w:spacing w:after="60"/>
      </w:pPr>
      <w:r>
        <w:t>Alternativa de acceso.</w:t>
      </w:r>
    </w:p>
    <w:p>
      <w:pPr>
        <w:pStyle w:val="ListBullet"/>
        <w:widowControl/>
        <w:spacing w:after="60"/>
      </w:pPr>
      <w:r>
        <w:t>Canal y fecha límite para preguntas.</w:t>
      </w:r>
    </w:p>
    <w:p>
      <w:pPr>
        <w:widowControl/>
      </w:pPr>
      <w:r>
        <w:br w:type="page"/>
      </w:r>
    </w:p>
    <w:p>
      <w:pPr>
        <w:pStyle w:val="Heading2"/>
        <w:widowControl/>
      </w:pPr>
      <w:r>
        <w:t>13.3 Para entregar un trabajo</w:t>
      </w:r>
    </w:p>
    <w:p>
      <w:pPr>
        <w:pStyle w:val="ListBullet"/>
        <w:widowControl/>
        <w:spacing w:after="60"/>
      </w:pPr>
      <w:r>
        <w:t>Respeté el nivel de la actividad.</w:t>
      </w:r>
    </w:p>
    <w:p>
      <w:pPr>
        <w:pStyle w:val="ListBullet"/>
        <w:widowControl/>
        <w:spacing w:after="60"/>
      </w:pPr>
      <w:r>
        <w:t>Puedo explicar cada decisión relevante.</w:t>
      </w:r>
    </w:p>
    <w:p>
      <w:pPr>
        <w:pStyle w:val="ListBullet"/>
        <w:widowControl/>
        <w:spacing w:after="60"/>
      </w:pPr>
      <w:r>
        <w:t>Abrí y verifiqué cada fuente.</w:t>
      </w:r>
    </w:p>
    <w:p>
      <w:pPr>
        <w:pStyle w:val="ListBullet"/>
        <w:widowControl/>
        <w:spacing w:after="60"/>
      </w:pPr>
      <w:r>
        <w:t>Probé cálculos, código o resultados.</w:t>
      </w:r>
    </w:p>
    <w:p>
      <w:pPr>
        <w:pStyle w:val="ListBullet"/>
        <w:widowControl/>
        <w:spacing w:after="60"/>
      </w:pPr>
      <w:r>
        <w:t>Declaré herramienta, uso y cambios.</w:t>
      </w:r>
    </w:p>
    <w:p>
      <w:pPr>
        <w:pStyle w:val="ListBullet"/>
        <w:widowControl/>
        <w:spacing w:after="60"/>
      </w:pPr>
      <w:r>
        <w:t>No compartí datos restringidos.</w:t>
      </w:r>
    </w:p>
    <w:p>
      <w:pPr>
        <w:pStyle w:val="ListBullet"/>
        <w:widowControl/>
        <w:spacing w:after="60"/>
      </w:pPr>
      <w:r>
        <w:t>Revisé sesgos, licencias y atribución.</w:t>
      </w:r>
    </w:p>
    <w:p>
      <w:pPr>
        <w:pStyle w:val="ListBullet"/>
        <w:widowControl/>
        <w:spacing w:after="60"/>
      </w:pPr>
      <w:r>
        <w:t>Conservé la evidencia exigida.</w:t>
      </w:r>
    </w:p>
    <w:p>
      <w:pPr>
        <w:widowControl/>
      </w:pPr>
      <w:r>
        <w:br w:type="page"/>
      </w:r>
    </w:p>
    <w:p>
      <w:pPr>
        <w:pStyle w:val="Heading1"/>
        <w:widowControl/>
      </w:pPr>
      <w:r>
        <w:t>Anexo A. Hallazgos derivados de los documentos adjuntos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2376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6"/>
              </w:rPr>
              <w:t>Documento</w:t>
            </w:r>
          </w:p>
        </w:tc>
        <w:tc>
          <w:tcPr>
            <w:tcW w:type="dxa" w:w="4032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6"/>
              </w:rPr>
              <w:t>Aporte aprovechado</w:t>
            </w:r>
          </w:p>
        </w:tc>
        <w:tc>
          <w:tcPr>
            <w:tcW w:type="dxa" w:w="3600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7365D"/>
                <w:sz w:val="16"/>
              </w:rPr>
              <w:t>Actualización o cautela aplicada</w:t>
            </w:r>
          </w:p>
        </w:tc>
      </w:tr>
      <w:tr>
        <w:trPr>
          <w:cantSplit/>
        </w:trPr>
        <w:tc>
          <w:tcPr>
            <w:tcW w:type="dxa" w:w="2376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Cómo citar tus trabajos con Inteligencia Artificial.pptx</w:t>
            </w:r>
          </w:p>
        </w:tc>
        <w:tc>
          <w:tcPr>
            <w:tcW w:type="dxa" w:w="40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Diferencia práctica entre reconocimiento y cita; declaración de herramienta, finalidad y revisión humana; alerta sobre fuentes inventadas.</w:t>
            </w:r>
          </w:p>
        </w:tc>
        <w:tc>
          <w:tcPr>
            <w:tcW w:type="dxa" w:w="360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Se actualiza con las guías APA de 2025 y MLA de 2025; se prioriza fuente original y enlace recuperable.</w:t>
            </w:r>
          </w:p>
        </w:tc>
      </w:tr>
      <w:tr>
        <w:trPr>
          <w:cantSplit/>
        </w:trPr>
        <w:tc>
          <w:tcPr>
            <w:tcW w:type="dxa" w:w="2376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Claude.pdf</w:t>
            </w:r>
          </w:p>
        </w:tc>
        <w:tc>
          <w:tcPr>
            <w:tcW w:type="dxa" w:w="4032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Mapa amplio de tendencias, AIAS, detección, referencias y casos regionales.</w:t>
            </w:r>
          </w:p>
        </w:tc>
        <w:tc>
          <w:tcPr>
            <w:tcW w:type="dxa" w:w="3600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Se usa solo como fuente secundaria de orientación; los hechos incluidos se contrastan con fuentes oficiales o revisadas por pares.</w:t>
            </w:r>
          </w:p>
        </w:tc>
      </w:tr>
      <w:tr>
        <w:trPr>
          <w:cantSplit/>
        </w:trPr>
        <w:tc>
          <w:tcPr>
            <w:tcW w:type="dxa" w:w="2376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Generative AI Workshop for Creative Teachers.pdf</w:t>
            </w:r>
          </w:p>
        </w:tc>
        <w:tc>
          <w:tcPr>
            <w:tcW w:type="dxa" w:w="40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Enfoque de formación docente, exploración creativa y aplicación pedagógica.</w:t>
            </w:r>
          </w:p>
        </w:tc>
        <w:tc>
          <w:tcPr>
            <w:tcW w:type="dxa" w:w="360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Se integra en formación y niveles 4–5, manteniendo datos, propiedad intelectual y propósito.</w:t>
            </w:r>
          </w:p>
        </w:tc>
      </w:tr>
      <w:tr>
        <w:trPr>
          <w:cantSplit/>
        </w:trPr>
        <w:tc>
          <w:tcPr>
            <w:tcW w:type="dxa" w:w="2376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propuesta_talleres_ia_docentes.pdf</w:t>
            </w:r>
          </w:p>
        </w:tc>
        <w:tc>
          <w:tcPr>
            <w:tcW w:type="dxa" w:w="4032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Necesidad de capacitación práctica, contexto institucional y acompañamiento.</w:t>
            </w:r>
          </w:p>
        </w:tc>
        <w:tc>
          <w:tcPr>
            <w:tcW w:type="dxa" w:w="3600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Se traduce en un piloto de 90 días con módulos y productos verificables.</w:t>
            </w:r>
          </w:p>
        </w:tc>
      </w:tr>
      <w:tr>
        <w:trPr>
          <w:cantSplit/>
        </w:trPr>
        <w:tc>
          <w:tcPr>
            <w:tcW w:type="dxa" w:w="2376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Propuesta_integrada_taller_IA_generativa_industria_creativa_docentes.pdf</w:t>
            </w:r>
          </w:p>
        </w:tc>
        <w:tc>
          <w:tcPr>
            <w:tcW w:type="dxa" w:w="40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Rúbrica de proceso, escala de transparencia, bitácora, curaduría, edición humana, verificación, procedencia y política mínima.</w:t>
            </w:r>
          </w:p>
        </w:tc>
        <w:tc>
          <w:tcPr>
            <w:tcW w:type="dxa" w:w="360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Se elimina la idea de porcentaje exacto; se adopta trazabilidad proporcional y AIAS v2.</w:t>
            </w:r>
          </w:p>
        </w:tc>
      </w:tr>
      <w:tr>
        <w:trPr>
          <w:cantSplit/>
        </w:trPr>
        <w:tc>
          <w:tcPr>
            <w:tcW w:type="dxa" w:w="2376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Propuesta de taller docente sobre IA generativa para la industria creativa.pdf</w:t>
            </w:r>
          </w:p>
        </w:tc>
        <w:tc>
          <w:tcPr>
            <w:tcW w:type="dxa" w:w="4032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Uso de IA como apoyo y objeto de reflexión, no como reemplazo del criterio docente o creativo.</w:t>
            </w:r>
          </w:p>
        </w:tc>
        <w:tc>
          <w:tcPr>
            <w:tcW w:type="dxa" w:w="3600"/>
            <w:shd w:fill="F9FBFC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Se generaliza a disciplinas universitarias con ejemplos y dos vías de evaluación.</w:t>
            </w:r>
          </w:p>
        </w:tc>
      </w:tr>
    </w:tbl>
    <w:p>
      <w:pPr>
        <w:widowControl/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3F7FA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0"/>
            </w:pPr>
            <w:r>
              <w:rPr>
                <w:b/>
                <w:color w:val="2E74B5"/>
                <w:sz w:val="22"/>
              </w:rPr>
              <w:t>SÍNTESIS DE LOS ADJUNTOS</w:t>
              <w:br/>
            </w:r>
            <w:r>
              <w:t>La idea más sólida es evaluar la intervención humana visible: contexto, fuentes, instrucciones, iteraciones, errores, curaduría, edición, verificación, riesgos y declaración. En términos operativos: no se penaliza el uso permitido; se evalúan la opacidad, la falta de criterio, la ausencia de transformación y la imposibilidad de justificar el resultado.</w:t>
            </w:r>
          </w:p>
        </w:tc>
      </w:tr>
    </w:tbl>
    <w:p>
      <w:pPr>
        <w:pStyle w:val="Heading1"/>
        <w:widowControl/>
      </w:pPr>
      <w:r>
        <w:t>Anexo B. Preguntas frecuentes</w:t>
      </w:r>
    </w:p>
    <w:p>
      <w:pPr>
        <w:widowControl/>
        <w:spacing w:before="60" w:after="140"/>
      </w:pPr>
      <w:r>
        <w:rPr>
          <w:b/>
          <w:color w:val="1F4D78"/>
        </w:rPr>
        <w:t>¿Debe prohibirse IA en los primeros semestres?</w:t>
        <w:br/>
      </w:r>
      <w:r>
        <w:t>No de forma general. Conviene asegurar destrezas fundamentales con evaluaciones controladas y permitir planificación o colaboración en otras actividades. La mezcla depende del resultado de aprendizaje.</w:t>
      </w:r>
    </w:p>
    <w:p>
      <w:pPr>
        <w:widowControl/>
        <w:spacing w:before="60" w:after="140"/>
      </w:pPr>
      <w:r>
        <w:rPr>
          <w:b/>
          <w:color w:val="1F4D78"/>
        </w:rPr>
        <w:t>¿Debemos exigir todos los prompts?</w:t>
        <w:br/>
      </w:r>
      <w:r>
        <w:t>Solo cuando la interacción sea objeto de evaluación o exista una revisión justificada. Para muchas tareas bastan prompts representativos, versiones y decisiones.</w:t>
      </w:r>
    </w:p>
    <w:p>
      <w:pPr>
        <w:widowControl/>
        <w:spacing w:before="60" w:after="140"/>
      </w:pPr>
      <w:r>
        <w:rPr>
          <w:b/>
          <w:color w:val="1F4D78"/>
        </w:rPr>
        <w:t>¿Podemos pedir un “máximo de 30% de IA”?</w:t>
        <w:br/>
      </w:r>
      <w:r>
        <w:t>No se recomienda. No existe una medición válida y comparable de ese porcentaje. Defina etapas y acciones permitidas.</w:t>
      </w:r>
    </w:p>
    <w:p>
      <w:pPr>
        <w:widowControl/>
        <w:spacing w:before="60" w:after="140"/>
      </w:pPr>
      <w:r>
        <w:rPr>
          <w:b/>
          <w:color w:val="1F4D78"/>
        </w:rPr>
        <w:t>¿Citar la IA vuelve permitido cualquier uso?</w:t>
        <w:br/>
      </w:r>
      <w:r>
        <w:t>No. Una cita no corrige un uso prohibido, una fuente falsa, una fuga de datos ni la delegación de una competencia reservada.</w:t>
      </w:r>
    </w:p>
    <w:p>
      <w:pPr>
        <w:widowControl/>
        <w:spacing w:before="60" w:after="140"/>
      </w:pPr>
      <w:r>
        <w:rPr>
          <w:b/>
          <w:color w:val="1F4D78"/>
        </w:rPr>
        <w:t>¿El detector puede iniciar una conversación?</w:t>
        <w:br/>
      </w:r>
      <w:r>
        <w:t>Puede ser una señal débil si está autorizado, pero no una conclusión. Debe existir evidencia independiente, revisión humana y debido proceso.</w:t>
      </w:r>
    </w:p>
    <w:p>
      <w:pPr>
        <w:widowControl/>
        <w:spacing w:before="60" w:after="140"/>
      </w:pPr>
      <w:r>
        <w:rPr>
          <w:b/>
          <w:color w:val="1F4D78"/>
        </w:rPr>
        <w:t>¿Qué ocurre con Grammarly, traductores o lectores de pantalla?</w:t>
        <w:br/>
      </w:r>
      <w:r>
        <w:t>La consigna debe definir funciones, no solo marcas. Las tecnologías asistivas y ajustes razonables requieren tratamiento diferenciado; algunas herramientas mezclan funciones generativas.</w:t>
      </w:r>
    </w:p>
    <w:p>
      <w:pPr>
        <w:widowControl/>
        <w:spacing w:before="60" w:after="140"/>
      </w:pPr>
      <w:r>
        <w:rPr>
          <w:b/>
          <w:color w:val="1F4D78"/>
        </w:rPr>
        <w:t>¿El docente puede usar IA para retroalimentar?</w:t>
        <w:br/>
      </w:r>
      <w:r>
        <w:t>Sí, si la institución lo permite, protege datos, revisa el resultado, conserva responsabilidad y declara el uso cuando afecta sustantivamente el proceso.</w:t>
      </w:r>
    </w:p>
    <w:p>
      <w:pPr>
        <w:widowControl/>
        <w:spacing w:before="60" w:after="140"/>
      </w:pPr>
      <w:r>
        <w:rPr>
          <w:b/>
          <w:color w:val="1F4D78"/>
        </w:rPr>
        <w:t>¿Quién es autor?</w:t>
        <w:br/>
      </w:r>
      <w:r>
        <w:t>La persona o personas que cumplen los criterios de autoría y responden por el trabajo. La IA no asume responsabilidad y no debe figurar como coautora.</w:t>
      </w:r>
    </w:p>
    <w:p>
      <w:pPr>
        <w:pStyle w:val="Heading1"/>
        <w:widowControl/>
      </w:pPr>
      <w:r>
        <w:t>Fuentes principales y lecturas verificadas</w:t>
      </w:r>
    </w:p>
    <w:p>
      <w:pPr>
        <w:keepLines w:val="0"/>
        <w:widowControl/>
      </w:pPr>
      <w:r>
        <w:t>Consulta web verificada al 26 de agosto de 2026. Los enlaces apuntan a fuentes oficiales o publicaciones académicas; las prácticas institucionales deben releerse antes de adopción formal porque pueden cambiar.</w:t>
      </w:r>
    </w:p>
    <w:p>
      <w:pPr>
        <w:widowControl/>
        <w:spacing w:after="60"/>
        <w:ind w:left="216" w:hanging="216"/>
      </w:pPr>
      <w:r>
        <w:t xml:space="preserve">1. </w:t>
      </w:r>
      <w:hyperlink r:id="rId13">
        <w:r>
          <w:rPr>
            <w:color w:val="2E74B5"/>
            <w:u w:val="single"/>
          </w:rPr>
          <w:t>AI Assessment Scale, versión 1 (página aportada; indica que fue reemplazada)</w:t>
        </w:r>
      </w:hyperlink>
    </w:p>
    <w:p>
      <w:pPr>
        <w:widowControl/>
        <w:spacing w:after="60"/>
        <w:ind w:left="216" w:hanging="216"/>
      </w:pPr>
      <w:r>
        <w:t xml:space="preserve">2. </w:t>
      </w:r>
      <w:hyperlink r:id="rId14">
        <w:r>
          <w:rPr>
            <w:color w:val="2E74B5"/>
            <w:u w:val="single"/>
          </w:rPr>
          <w:t>Actualización de la AI Assessment Scale</w:t>
        </w:r>
      </w:hyperlink>
    </w:p>
    <w:p>
      <w:pPr>
        <w:widowControl/>
        <w:spacing w:after="60"/>
        <w:ind w:left="216" w:hanging="216"/>
      </w:pPr>
      <w:r>
        <w:t xml:space="preserve">3. </w:t>
      </w:r>
      <w:hyperlink r:id="rId15">
        <w:r>
          <w:rPr>
            <w:color w:val="2E74B5"/>
            <w:u w:val="single"/>
          </w:rPr>
          <w:t>Perkins, Furze, Roe y MacVaugh: AIAS v2, Journal of University Teaching &amp; Learning Practice (2025)</w:t>
        </w:r>
      </w:hyperlink>
    </w:p>
    <w:p>
      <w:pPr>
        <w:widowControl/>
        <w:spacing w:after="60"/>
        <w:ind w:left="216" w:hanging="216"/>
      </w:pPr>
      <w:r>
        <w:t xml:space="preserve">4. </w:t>
      </w:r>
      <w:hyperlink r:id="rId16">
        <w:r>
          <w:rPr>
            <w:color w:val="2E74B5"/>
            <w:u w:val="single"/>
          </w:rPr>
          <w:t>Piloto AIAS, Australasian Journal of Educational Technology</w:t>
        </w:r>
      </w:hyperlink>
    </w:p>
    <w:p>
      <w:pPr>
        <w:widowControl/>
        <w:spacing w:after="60"/>
        <w:ind w:left="216" w:hanging="216"/>
      </w:pPr>
      <w:r>
        <w:t xml:space="preserve">5. </w:t>
      </w:r>
      <w:hyperlink r:id="rId17">
        <w:r>
          <w:rPr>
            <w:color w:val="2E74B5"/>
            <w:u w:val="single"/>
          </w:rPr>
          <w:t>UNESCO: Guidance for Generative AI in Education and Research</w:t>
        </w:r>
      </w:hyperlink>
    </w:p>
    <w:p>
      <w:pPr>
        <w:widowControl/>
        <w:spacing w:after="60"/>
        <w:ind w:left="216" w:hanging="216"/>
      </w:pPr>
      <w:r>
        <w:t xml:space="preserve">6. </w:t>
      </w:r>
      <w:hyperlink r:id="rId18">
        <w:r>
          <w:rPr>
            <w:color w:val="2E74B5"/>
            <w:u w:val="single"/>
          </w:rPr>
          <w:t>UNESCO: AI competency frameworks for students and teachers</w:t>
        </w:r>
      </w:hyperlink>
    </w:p>
    <w:p>
      <w:pPr>
        <w:widowControl/>
        <w:spacing w:after="60"/>
        <w:ind w:left="216" w:hanging="216"/>
      </w:pPr>
      <w:r>
        <w:t xml:space="preserve">7. </w:t>
      </w:r>
      <w:hyperlink r:id="rId19">
        <w:r>
          <w:rPr>
            <w:color w:val="2E74B5"/>
            <w:u w:val="single"/>
          </w:rPr>
          <w:t>UNESCO: encuesta global sobre políticas de IA en educación superior (2025)</w:t>
        </w:r>
      </w:hyperlink>
    </w:p>
    <w:p>
      <w:pPr>
        <w:widowControl/>
        <w:spacing w:after="60"/>
        <w:ind w:left="216" w:hanging="216"/>
      </w:pPr>
      <w:r>
        <w:t xml:space="preserve">8. </w:t>
      </w:r>
      <w:hyperlink r:id="rId20">
        <w:r>
          <w:rPr>
            <w:color w:val="2E74B5"/>
            <w:u w:val="single"/>
          </w:rPr>
          <w:t>UNESCO-IESALC: transformación digital y brecha regional (2026)</w:t>
        </w:r>
      </w:hyperlink>
    </w:p>
    <w:p>
      <w:pPr>
        <w:widowControl/>
        <w:spacing w:after="60"/>
        <w:ind w:left="216" w:hanging="216"/>
      </w:pPr>
      <w:r>
        <w:t xml:space="preserve">9. </w:t>
      </w:r>
      <w:hyperlink r:id="rId21">
        <w:r>
          <w:rPr>
            <w:color w:val="2E74B5"/>
            <w:u w:val="single"/>
          </w:rPr>
          <w:t>TEQSA: Enacting assessment reform in a time of AI</w:t>
        </w:r>
      </w:hyperlink>
    </w:p>
    <w:p>
      <w:pPr>
        <w:widowControl/>
        <w:spacing w:after="60"/>
        <w:ind w:left="216" w:hanging="216"/>
      </w:pPr>
      <w:r>
        <w:t xml:space="preserve">10. </w:t>
      </w:r>
      <w:hyperlink r:id="rId22">
        <w:r>
          <w:rPr>
            <w:color w:val="2E74B5"/>
            <w:u w:val="single"/>
          </w:rPr>
          <w:t>TEQSA: adaptive capabilities and quality learning (2026)</w:t>
        </w:r>
      </w:hyperlink>
    </w:p>
    <w:p>
      <w:pPr>
        <w:widowControl/>
        <w:spacing w:after="60"/>
        <w:ind w:left="216" w:hanging="216"/>
      </w:pPr>
      <w:r>
        <w:t xml:space="preserve">11. </w:t>
      </w:r>
      <w:hyperlink r:id="rId23">
        <w:r>
          <w:rPr>
            <w:color w:val="2E74B5"/>
            <w:u w:val="single"/>
          </w:rPr>
          <w:t>TEQSA: límites de detección y aseguramiento de evaluaciones</w:t>
        </w:r>
      </w:hyperlink>
    </w:p>
    <w:p>
      <w:pPr>
        <w:widowControl/>
        <w:spacing w:after="60"/>
        <w:ind w:left="216" w:hanging="216"/>
      </w:pPr>
      <w:r>
        <w:t xml:space="preserve">12. </w:t>
      </w:r>
      <w:hyperlink r:id="rId24">
        <w:r>
          <w:rPr>
            <w:color w:val="2E74B5"/>
            <w:u w:val="single"/>
          </w:rPr>
          <w:t>Turnitin: AI Writing Report no debe ser base única de medidas adversas</w:t>
        </w:r>
      </w:hyperlink>
    </w:p>
    <w:p>
      <w:pPr>
        <w:widowControl/>
        <w:spacing w:after="60"/>
        <w:ind w:left="216" w:hanging="216"/>
      </w:pPr>
      <w:r>
        <w:t xml:space="preserve">13. </w:t>
      </w:r>
      <w:hyperlink r:id="rId25">
        <w:r>
          <w:rPr>
            <w:color w:val="2E74B5"/>
            <w:u w:val="single"/>
          </w:rPr>
          <w:t>University of Sydney: política de evaluación con IA</w:t>
        </w:r>
      </w:hyperlink>
    </w:p>
    <w:p>
      <w:pPr>
        <w:widowControl/>
        <w:spacing w:after="60"/>
        <w:ind w:left="216" w:hanging="216"/>
      </w:pPr>
      <w:r>
        <w:t xml:space="preserve">14. </w:t>
      </w:r>
      <w:hyperlink r:id="rId26">
        <w:r>
          <w:rPr>
            <w:color w:val="2E74B5"/>
            <w:u w:val="single"/>
          </w:rPr>
          <w:t>University of Sydney: enfoque de dos vías</w:t>
        </w:r>
      </w:hyperlink>
    </w:p>
    <w:p>
      <w:pPr>
        <w:widowControl/>
        <w:spacing w:after="60"/>
        <w:ind w:left="216" w:hanging="216"/>
      </w:pPr>
      <w:r>
        <w:t xml:space="preserve">15. </w:t>
      </w:r>
      <w:hyperlink r:id="rId27">
        <w:r>
          <w:rPr>
            <w:color w:val="2E74B5"/>
            <w:u w:val="single"/>
          </w:rPr>
          <w:t>Universidad de los Andes: lineamientos de IAG</w:t>
        </w:r>
      </w:hyperlink>
    </w:p>
    <w:p>
      <w:pPr>
        <w:widowControl/>
        <w:spacing w:after="60"/>
        <w:ind w:left="216" w:hanging="216"/>
      </w:pPr>
      <w:r>
        <w:t xml:space="preserve">16. </w:t>
      </w:r>
      <w:hyperlink r:id="rId28">
        <w:r>
          <w:rPr>
            <w:color w:val="2E74B5"/>
            <w:u w:val="single"/>
          </w:rPr>
          <w:t>Universidad de Chile: lineamientos de uso de IA en tesis</w:t>
        </w:r>
      </w:hyperlink>
    </w:p>
    <w:p>
      <w:pPr>
        <w:widowControl/>
        <w:spacing w:after="60"/>
        <w:ind w:left="216" w:hanging="216"/>
      </w:pPr>
      <w:r>
        <w:t xml:space="preserve">17. </w:t>
      </w:r>
      <w:hyperlink r:id="rId29">
        <w:r>
          <w:rPr>
            <w:color w:val="2E74B5"/>
            <w:u w:val="single"/>
          </w:rPr>
          <w:t>Universidad de Chile: Instructivo N.º 17 de 2026</w:t>
        </w:r>
      </w:hyperlink>
    </w:p>
    <w:p>
      <w:pPr>
        <w:widowControl/>
        <w:spacing w:after="60"/>
        <w:ind w:left="216" w:hanging="216"/>
      </w:pPr>
      <w:r>
        <w:t xml:space="preserve">18. </w:t>
      </w:r>
      <w:hyperlink r:id="rId30">
        <w:r>
          <w:rPr>
            <w:color w:val="2E74B5"/>
            <w:u w:val="single"/>
          </w:rPr>
          <w:t>ESPOCH: lineamientos para uso ético, responsable y transparente de IA</w:t>
        </w:r>
      </w:hyperlink>
    </w:p>
    <w:p>
      <w:pPr>
        <w:widowControl/>
        <w:spacing w:after="60"/>
        <w:ind w:left="216" w:hanging="216"/>
      </w:pPr>
      <w:r>
        <w:t xml:space="preserve">19. </w:t>
      </w:r>
      <w:hyperlink r:id="rId31">
        <w:r>
          <w:rPr>
            <w:color w:val="2E74B5"/>
            <w:u w:val="single"/>
          </w:rPr>
          <w:t>UISEK: política para el uso de IA en la comunidad educativa</w:t>
        </w:r>
      </w:hyperlink>
    </w:p>
    <w:p>
      <w:pPr>
        <w:widowControl/>
        <w:spacing w:after="60"/>
        <w:ind w:left="216" w:hanging="216"/>
      </w:pPr>
      <w:r>
        <w:t xml:space="preserve">20. </w:t>
      </w:r>
      <w:hyperlink r:id="rId32">
        <w:r>
          <w:rPr>
            <w:color w:val="2E74B5"/>
            <w:u w:val="single"/>
          </w:rPr>
          <w:t>Tecnológico de Monterrey: principios éticos de IA</w:t>
        </w:r>
      </w:hyperlink>
    </w:p>
    <w:p>
      <w:pPr>
        <w:widowControl/>
        <w:spacing w:after="60"/>
        <w:ind w:left="216" w:hanging="216"/>
      </w:pPr>
      <w:r>
        <w:t xml:space="preserve">21. </w:t>
      </w:r>
      <w:hyperlink r:id="rId33">
        <w:r>
          <w:rPr>
            <w:color w:val="2E74B5"/>
            <w:u w:val="single"/>
          </w:rPr>
          <w:t>Comisión Europea: alfabetización en IA y artículo 4</w:t>
        </w:r>
      </w:hyperlink>
    </w:p>
    <w:p>
      <w:pPr>
        <w:widowControl/>
        <w:spacing w:after="60"/>
        <w:ind w:left="216" w:hanging="216"/>
      </w:pPr>
      <w:r>
        <w:t xml:space="preserve">22. </w:t>
      </w:r>
      <w:hyperlink r:id="rId34">
        <w:r>
          <w:rPr>
            <w:color w:val="2E74B5"/>
            <w:u w:val="single"/>
          </w:rPr>
          <w:t>Comisión Europea: marco regulatorio de IA y riesgos</w:t>
        </w:r>
      </w:hyperlink>
    </w:p>
    <w:p>
      <w:pPr>
        <w:widowControl/>
        <w:spacing w:after="60"/>
        <w:ind w:left="216" w:hanging="216"/>
      </w:pPr>
      <w:r>
        <w:t xml:space="preserve">23. </w:t>
      </w:r>
      <w:hyperlink r:id="rId35">
        <w:r>
          <w:rPr>
            <w:color w:val="2E74B5"/>
            <w:u w:val="single"/>
          </w:rPr>
          <w:t>APA Style: How to cite generative AI</w:t>
        </w:r>
      </w:hyperlink>
    </w:p>
    <w:p>
      <w:pPr>
        <w:widowControl/>
        <w:spacing w:after="60"/>
        <w:ind w:left="216" w:hanging="216"/>
      </w:pPr>
      <w:r>
        <w:t xml:space="preserve">24. </w:t>
      </w:r>
      <w:hyperlink r:id="rId36">
        <w:r>
          <w:rPr>
            <w:color w:val="2E74B5"/>
            <w:u w:val="single"/>
          </w:rPr>
          <w:t>APA Style: AI references examples</w:t>
        </w:r>
      </w:hyperlink>
    </w:p>
    <w:p>
      <w:pPr>
        <w:widowControl/>
        <w:spacing w:after="60"/>
        <w:ind w:left="216" w:hanging="216"/>
      </w:pPr>
      <w:r>
        <w:t xml:space="preserve">25. </w:t>
      </w:r>
      <w:hyperlink r:id="rId37">
        <w:r>
          <w:rPr>
            <w:color w:val="2E74B5"/>
            <w:u w:val="single"/>
          </w:rPr>
          <w:t>MLA Style Center: citing generative AI</w:t>
        </w:r>
      </w:hyperlink>
    </w:p>
    <w:p>
      <w:pPr>
        <w:widowControl/>
        <w:spacing w:after="60"/>
        <w:ind w:left="216" w:hanging="216"/>
      </w:pPr>
      <w:r>
        <w:t xml:space="preserve">26. </w:t>
      </w:r>
      <w:hyperlink r:id="rId38">
        <w:r>
          <w:rPr>
            <w:color w:val="2E74B5"/>
            <w:u w:val="single"/>
          </w:rPr>
          <w:t>MLA Style Center: describing AI use</w:t>
        </w:r>
      </w:hyperlink>
    </w:p>
    <w:p>
      <w:pPr>
        <w:pStyle w:val="Heading1"/>
        <w:widowControl/>
      </w:pPr>
      <w:r>
        <w:t>Nota final de adopción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3F7FA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0"/>
            </w:pPr>
            <w:r>
              <w:rPr>
                <w:b/>
                <w:color w:val="2A7F7F"/>
                <w:sz w:val="22"/>
              </w:rPr>
              <w:t>PRIMER PASO RECOMENDADO</w:t>
              <w:br/>
            </w:r>
            <w:r>
              <w:t>Aprobar esta guía como orientación piloto —no todavía como régimen sancionatorio autónomo—, capacitar a un grupo diverso de docentes, etiquetar actividades con AIAS v2 y recopilar evidencia durante un período. Después, convertir lo aprendido en normativa institucional con participación estudiantil y revisión jurídica.</w:t>
            </w:r>
          </w:p>
        </w:tc>
      </w:tr>
    </w:tbl>
    <w:p>
      <w:pPr>
        <w:keepLines w:val="0"/>
        <w:widowControl/>
      </w:pPr>
      <w:r>
        <w:t>Una buena normativa no intenta hacer invisible la IA. Hace visible el aprendizaje: qué sabe hacer la persona, qué delegó, cómo juzgó la salida, qué verificó y por qué el resultado merece confianza.</w:t>
      </w:r>
    </w:p>
    <w:sectPr w:rsidR="00FC693F" w:rsidRPr="0006063C" w:rsidSect="00034616">
      <w:headerReference w:type="default" r:id="rId9"/>
      <w:headerReference w:type="even" r:id="rId10"/>
      <w:footerReference w:type="default" r:id="rId11"/>
      <w:footerReference w:type="even" r:id="rId12"/>
      <w:footerReference w:type="first" r:id="rId39"/>
      <w:pgSz w:w="12240" w:h="15840"/>
      <w:pgMar w:top="1008" w:right="1123" w:bottom="1872" w:left="1123" w:header="403" w:footer="216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  <w:jc w:val="right"/>
    </w:pPr>
    <w:r>
      <w:rPr>
        <w:sz w:val="14"/>
      </w:rPr>
      <w:t xml:space="preserve">Página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  <w:jc w:val="right"/>
    </w:pPr>
    <w:r>
      <w:rPr>
        <w:sz w:val="14"/>
      </w:rPr>
      <w:t xml:space="preserve">Página </w:t>
    </w:r>
    <w:fldSimple w:instr="PAGE"/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573"/>
        <w:sz w:val="16"/>
      </w:rPr>
      <w:t>DOCUMENTO BASE ·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  <w:pBdr>
        <w:bottom w:val="single" w:sz="8" w:space="3" w:color="E8EEF5"/>
      </w:pBdr>
    </w:pPr>
    <w:r>
      <w:rPr>
        <w:color w:val="5B6573"/>
        <w:sz w:val="17"/>
      </w:rPr>
      <w:t>IA GENERATIVA EN UNIVERSIDADES · INFORME BASE 2026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  <w:pBdr>
        <w:bottom w:val="single" w:sz="8" w:space="3" w:color="E8EEF5"/>
      </w:pBdr>
    </w:pPr>
    <w:r>
      <w:rPr>
        <w:color w:val="5B6573"/>
        <w:sz w:val="17"/>
      </w:rPr>
      <w:t>IA GENERATIVA EN UNIVERSIDADES · INFORME BASE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evenAndOddHeaders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Calibri" w:hAnsi="Calibri"/>
      <w:color w:val="202A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1F4D78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2A7F7F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7365D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60"/>
    </w:pPr>
    <w:rPr>
      <w:rFonts w:asciiTheme="majorHAnsi" w:eastAsiaTheme="majorEastAsia" w:hAnsiTheme="majorHAnsi" w:cstheme="majorBidi" w:ascii="Calibri" w:hAnsi="Calibri"/>
      <w:b w:val="0"/>
      <w:i/>
      <w:iCs/>
      <w:color w:val="5B6573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llout">
    <w:name w:val="Callout"/>
    <w:pPr>
      <w:spacing w:before="120" w:after="120"/>
      <w:ind w:left="288" w:right="288"/>
    </w:pPr>
    <w:rPr>
      <w:rFonts w:ascii="Calibri" w:hAnsi="Calibri"/>
      <w:color w:val="17365D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yperlink" Target="https://leonfurze.com/2023/12/18/the-ai-assessment-scale-version-1/" TargetMode="External"/><Relationship Id="rId14" Type="http://schemas.openxmlformats.org/officeDocument/2006/relationships/hyperlink" Target="https://leonfurze.com/2024/08/28/updating-the-ai-assessment-scale/" TargetMode="External"/><Relationship Id="rId15" Type="http://schemas.openxmlformats.org/officeDocument/2006/relationships/hyperlink" Target="https://leonfurze.com/wp-content/uploads/2025/09/JUTLPFinalPerkins_JUTLP_2025.pdf" TargetMode="External"/><Relationship Id="rId16" Type="http://schemas.openxmlformats.org/officeDocument/2006/relationships/hyperlink" Target="https://ajet.org.au/index.php/AJET/article/view/9434" TargetMode="External"/><Relationship Id="rId17" Type="http://schemas.openxmlformats.org/officeDocument/2006/relationships/hyperlink" Target="https://www.unesco.org/en/articles/guidance-generative-ai-education-and-research" TargetMode="External"/><Relationship Id="rId18" Type="http://schemas.openxmlformats.org/officeDocument/2006/relationships/hyperlink" Target="https://www.unesco.org/en/articles/what-you-need-know-about-unescos-new-ai-competency-frameworks-students-and-teachers" TargetMode="External"/><Relationship Id="rId19" Type="http://schemas.openxmlformats.org/officeDocument/2006/relationships/hyperlink" Target="https://www.unesco.org/en/articles/unesco-survey-two-thirds-higher-education-institutions-have-or-are-developing-guidance-ai-use" TargetMode="External"/><Relationship Id="rId20" Type="http://schemas.openxmlformats.org/officeDocument/2006/relationships/hyperlink" Target="https://www.iesalc.unesco.org/en/articles/accelerating-digital-transformation-higher-education-unesco-iesalc-marks-international-day-digital" TargetMode="External"/><Relationship Id="rId21" Type="http://schemas.openxmlformats.org/officeDocument/2006/relationships/hyperlink" Target="https://www.teqsa.gov.au/guides-resources/resources/corporate-publications/enacting-assessment-reform-time-artificial-intelligence" TargetMode="External"/><Relationship Id="rId22" Type="http://schemas.openxmlformats.org/officeDocument/2006/relationships/hyperlink" Target="https://www.teqsa.gov.au/guides-resources/resources/corporate-publications/assuring-quality-learning-gen-ai-integrated-future-role-adaptive-capabilities" TargetMode="External"/><Relationship Id="rId23" Type="http://schemas.openxmlformats.org/officeDocument/2006/relationships/hyperlink" Target="https://www.teqsa.gov.au/guides-resources/protecting-academic-integrity/academic-integrity-toolkit/risks-academic-integrity-ai/detecting-plagiarism-ai-generated-text-student-assessments-and-securing-take-home-written-assessments" TargetMode="External"/><Relationship Id="rId24" Type="http://schemas.openxmlformats.org/officeDocument/2006/relationships/hyperlink" Target="https://guides.turnitin.com/hc/en-us/articles/22774058814093-Using-the-AI-Writing-Report" TargetMode="External"/><Relationship Id="rId25" Type="http://schemas.openxmlformats.org/officeDocument/2006/relationships/hyperlink" Target="https://www.sydney.edu.au/news-opinion/news/2024/11/27/university-of-sydney-ai-assessment-policy.html" TargetMode="External"/><Relationship Id="rId26" Type="http://schemas.openxmlformats.org/officeDocument/2006/relationships/hyperlink" Target="https://educational-innovation.sydney.edu.au/teaching%40sydney/program-level-assessment-two-lane/" TargetMode="External"/><Relationship Id="rId27" Type="http://schemas.openxmlformats.org/officeDocument/2006/relationships/hyperlink" Target="https://secretariageneral.uniandes.edu.co/images/documents/lineamientos-uso-inteligencia-artificial-generativa-IAG-uniandes.pdf" TargetMode="External"/><Relationship Id="rId28" Type="http://schemas.openxmlformats.org/officeDocument/2006/relationships/hyperlink" Target="https://uchile.cl/informacion-y-bibliotecas/lineamientos-uso-ia-en-tesis" TargetMode="External"/><Relationship Id="rId29" Type="http://schemas.openxmlformats.org/officeDocument/2006/relationships/hyperlink" Target="https://uchile.cl/dam/jcr:f314d869-bbe4-42fa-841a-dcbd5dffbbba/Instructivo%20No%2017-2026%20-%20Lineamientos%20Uso%20de%20IA%20en%20Tesis%20junio%202026%20XH-firmado.pdf" TargetMode="External"/><Relationship Id="rId30" Type="http://schemas.openxmlformats.org/officeDocument/2006/relationships/hyperlink" Target="https://www.espoch.edu.ec/wp-content/uploads/2025/12/Actual_Lineamientos-para-el-uso-etico-responsable-y-transparente-de-herramientas-de-Inteligencia-Artificia.pdf" TargetMode="External"/><Relationship Id="rId31" Type="http://schemas.openxmlformats.org/officeDocument/2006/relationships/hyperlink" Target="https://uisek.edu.ec/wp-content/uploads/2025/11/Politica-para-el-uso-de-inteligencia-artificial-IA-en-la-Comunidad-Educativa-signed.pdf" TargetMode="External"/><Relationship Id="rId32" Type="http://schemas.openxmlformats.org/officeDocument/2006/relationships/hyperlink" Target="https://conecta.tec.mx/es/noticias/nacional/institucion/asi-usa-el-tec-de-monterrey-la-inteligencia-artificial-en-la" TargetMode="External"/><Relationship Id="rId33" Type="http://schemas.openxmlformats.org/officeDocument/2006/relationships/hyperlink" Target="https://digital-strategy.ec.europa.eu/en/policies/ai-talent-skills-and-literacy" TargetMode="External"/><Relationship Id="rId34" Type="http://schemas.openxmlformats.org/officeDocument/2006/relationships/hyperlink" Target="https://digital-strategy.ec.europa.eu/en/policies/regulatory-framework-ai" TargetMode="External"/><Relationship Id="rId35" Type="http://schemas.openxmlformats.org/officeDocument/2006/relationships/hyperlink" Target="https://apastyle.apa.org/blog/cite-generative-ai-references" TargetMode="External"/><Relationship Id="rId36" Type="http://schemas.openxmlformats.org/officeDocument/2006/relationships/hyperlink" Target="https://apastyle.apa.org/style-grammar-guidelines/references/examples/ai-references" TargetMode="External"/><Relationship Id="rId37" Type="http://schemas.openxmlformats.org/officeDocument/2006/relationships/hyperlink" Target="https://style.mla.org/citing-generative-ai-updated-revised/" TargetMode="External"/><Relationship Id="rId38" Type="http://schemas.openxmlformats.org/officeDocument/2006/relationships/hyperlink" Target="https://style.mla.org/describing-ai-use/" TargetMode="External"/><Relationship Id="rId3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Uso ético, responsable y evaluable de IA generativa en universidades</dc:title>
  <dc:subject>Informe base 2026 para políticas institucionales y syllabus en América Latina</dc:subject>
  <dc:creator>Documento base de análisis y orientación institucional</dc:creator>
  <cp:keywords>IA generativa, universidad, AIAS, syllabus, integridad académica, América Latina, evaluación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